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黑体" w:hAnsi="黑体" w:eastAsia="黑体" w:cs="黑体"/>
          <w:sz w:val="32"/>
          <w:szCs w:val="32"/>
        </w:rPr>
      </w:pPr>
      <w:r>
        <w:rPr>
          <w:rFonts w:hint="eastAsia" w:ascii="黑体" w:hAnsi="黑体" w:eastAsia="黑体" w:cs="黑体"/>
          <w:sz w:val="32"/>
          <w:szCs w:val="32"/>
        </w:rPr>
        <w:t>附件1</w:t>
      </w:r>
    </w:p>
    <w:p>
      <w:pPr>
        <w:jc w:val="center"/>
        <w:rPr>
          <w:rFonts w:ascii="黑体" w:hAnsi="黑体" w:eastAsia="黑体"/>
          <w:sz w:val="40"/>
          <w:szCs w:val="40"/>
        </w:rPr>
      </w:pPr>
      <w:r>
        <w:rPr>
          <w:rFonts w:hint="eastAsia" w:ascii="方正小标宋简体" w:hAnsi="方正小标宋简体" w:eastAsia="方正小标宋简体" w:cs="方正小标宋简体"/>
          <w:color w:val="auto"/>
          <w:sz w:val="44"/>
          <w:szCs w:val="44"/>
          <w:lang w:eastAsia="zh-CN"/>
        </w:rPr>
        <w:t>机械伤害事故典型管控措施指导手册</w:t>
      </w:r>
    </w:p>
    <w:p>
      <w:pPr>
        <w:jc w:val="center"/>
        <w:rPr>
          <w:rFonts w:ascii="黑体" w:hAnsi="黑体" w:eastAsia="黑体"/>
          <w:sz w:val="40"/>
          <w:szCs w:val="40"/>
        </w:rPr>
      </w:pPr>
    </w:p>
    <w:p>
      <w:pP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1.通用机械伤害</w:t>
      </w:r>
      <w:r>
        <w:rPr>
          <w:rFonts w:hint="eastAsia" w:ascii="楷体_GB2312" w:hAnsi="楷体_GB2312" w:eastAsia="楷体_GB2312" w:cs="楷体_GB2312"/>
          <w:sz w:val="28"/>
          <w:szCs w:val="32"/>
          <w:lang w:val="en-US" w:eastAsia="zh-CN"/>
        </w:rPr>
        <w:t>事故</w:t>
      </w:r>
      <w:r>
        <w:rPr>
          <w:rFonts w:hint="eastAsia" w:ascii="楷体_GB2312" w:hAnsi="楷体_GB2312" w:eastAsia="楷体_GB2312" w:cs="楷体_GB2312"/>
          <w:sz w:val="28"/>
          <w:szCs w:val="32"/>
        </w:rPr>
        <w:t>管控措施</w:t>
      </w:r>
    </w:p>
    <w:tbl>
      <w:tblPr>
        <w:tblStyle w:val="5"/>
        <w:tblW w:w="14894" w:type="dxa"/>
        <w:tblInd w:w="0" w:type="dxa"/>
        <w:tblLayout w:type="fixed"/>
        <w:tblCellMar>
          <w:top w:w="0" w:type="dxa"/>
          <w:left w:w="108" w:type="dxa"/>
          <w:bottom w:w="0" w:type="dxa"/>
          <w:right w:w="108" w:type="dxa"/>
        </w:tblCellMar>
      </w:tblPr>
      <w:tblGrid>
        <w:gridCol w:w="474"/>
        <w:gridCol w:w="1054"/>
        <w:gridCol w:w="1778"/>
        <w:gridCol w:w="2058"/>
        <w:gridCol w:w="2606"/>
        <w:gridCol w:w="3179"/>
        <w:gridCol w:w="3745"/>
      </w:tblGrid>
      <w:tr>
        <w:tblPrEx>
          <w:tblCellMar>
            <w:top w:w="0" w:type="dxa"/>
            <w:left w:w="108" w:type="dxa"/>
            <w:bottom w:w="0" w:type="dxa"/>
            <w:right w:w="108" w:type="dxa"/>
          </w:tblCellMar>
        </w:tblPrEx>
        <w:trPr>
          <w:trHeight w:val="680" w:hRule="atLeast"/>
        </w:trPr>
        <w:tc>
          <w:tcPr>
            <w:tcW w:w="4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黑体" w:hAnsi="黑体" w:eastAsia="黑体" w:cs="黑体"/>
                <w:color w:val="auto"/>
                <w:kern w:val="0"/>
                <w:sz w:val="21"/>
                <w:szCs w:val="21"/>
              </w:rPr>
            </w:pPr>
            <w:r>
              <w:rPr>
                <w:rFonts w:hint="eastAsia" w:ascii="黑体" w:hAnsi="黑体" w:eastAsia="黑体" w:cs="黑体"/>
                <w:color w:val="auto"/>
                <w:kern w:val="0"/>
                <w:sz w:val="21"/>
                <w:szCs w:val="21"/>
              </w:rPr>
              <w:t>序号</w:t>
            </w:r>
          </w:p>
        </w:tc>
        <w:tc>
          <w:tcPr>
            <w:tcW w:w="1054"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color w:val="auto"/>
                <w:kern w:val="0"/>
                <w:sz w:val="21"/>
                <w:szCs w:val="21"/>
              </w:rPr>
            </w:pPr>
            <w:r>
              <w:rPr>
                <w:rFonts w:hint="eastAsia" w:ascii="黑体" w:hAnsi="黑体" w:eastAsia="黑体" w:cs="黑体"/>
                <w:color w:val="auto"/>
                <w:kern w:val="0"/>
                <w:sz w:val="21"/>
                <w:szCs w:val="21"/>
              </w:rPr>
              <w:t>危险部件分类</w:t>
            </w:r>
          </w:p>
        </w:tc>
        <w:tc>
          <w:tcPr>
            <w:tcW w:w="1778"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color w:val="auto"/>
                <w:kern w:val="0"/>
                <w:sz w:val="21"/>
                <w:szCs w:val="21"/>
              </w:rPr>
            </w:pPr>
            <w:r>
              <w:rPr>
                <w:rFonts w:hint="eastAsia" w:ascii="黑体" w:hAnsi="黑体" w:eastAsia="黑体" w:cs="黑体"/>
                <w:color w:val="auto"/>
                <w:kern w:val="0"/>
                <w:sz w:val="21"/>
                <w:szCs w:val="21"/>
              </w:rPr>
              <w:t>典型设备设施或作业活动举例</w:t>
            </w:r>
          </w:p>
        </w:tc>
        <w:tc>
          <w:tcPr>
            <w:tcW w:w="2058"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color w:val="auto"/>
                <w:kern w:val="0"/>
                <w:sz w:val="21"/>
                <w:szCs w:val="21"/>
              </w:rPr>
            </w:pPr>
            <w:r>
              <w:rPr>
                <w:rFonts w:hint="eastAsia" w:ascii="黑体" w:hAnsi="黑体" w:eastAsia="黑体" w:cs="黑体"/>
                <w:color w:val="auto"/>
                <w:kern w:val="0"/>
                <w:sz w:val="21"/>
                <w:szCs w:val="21"/>
              </w:rPr>
              <w:t>事故原因</w:t>
            </w:r>
          </w:p>
        </w:tc>
        <w:tc>
          <w:tcPr>
            <w:tcW w:w="2606"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color w:val="auto"/>
                <w:kern w:val="0"/>
                <w:sz w:val="21"/>
                <w:szCs w:val="21"/>
              </w:rPr>
            </w:pPr>
            <w:r>
              <w:rPr>
                <w:rFonts w:hint="eastAsia" w:ascii="黑体" w:hAnsi="黑体" w:eastAsia="黑体" w:cs="黑体"/>
                <w:color w:val="auto"/>
                <w:kern w:val="0"/>
                <w:sz w:val="21"/>
                <w:szCs w:val="21"/>
              </w:rPr>
              <w:t>典型工程技术措施</w:t>
            </w:r>
          </w:p>
        </w:tc>
        <w:tc>
          <w:tcPr>
            <w:tcW w:w="3179"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color w:val="auto"/>
                <w:kern w:val="0"/>
                <w:sz w:val="21"/>
                <w:szCs w:val="21"/>
              </w:rPr>
            </w:pPr>
            <w:r>
              <w:rPr>
                <w:rFonts w:hint="eastAsia" w:ascii="黑体" w:hAnsi="黑体" w:eastAsia="黑体" w:cs="黑体"/>
                <w:color w:val="auto"/>
                <w:kern w:val="0"/>
                <w:sz w:val="21"/>
                <w:szCs w:val="21"/>
              </w:rPr>
              <w:t>典型管理措施</w:t>
            </w:r>
          </w:p>
        </w:tc>
        <w:tc>
          <w:tcPr>
            <w:tcW w:w="374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color w:val="auto"/>
                <w:kern w:val="0"/>
                <w:sz w:val="21"/>
                <w:szCs w:val="21"/>
                <w:lang w:val="en-US" w:eastAsia="zh-CN"/>
              </w:rPr>
            </w:pPr>
            <w:r>
              <w:rPr>
                <w:rFonts w:hint="eastAsia" w:ascii="黑体" w:hAnsi="黑体" w:eastAsia="黑体" w:cs="黑体"/>
                <w:color w:val="auto"/>
                <w:kern w:val="0"/>
                <w:sz w:val="21"/>
                <w:szCs w:val="21"/>
                <w:lang w:val="en-US" w:eastAsia="zh-CN"/>
              </w:rPr>
              <w:t>典型示例</w:t>
            </w:r>
          </w:p>
        </w:tc>
      </w:tr>
      <w:tr>
        <w:tblPrEx>
          <w:tblCellMar>
            <w:top w:w="0" w:type="dxa"/>
            <w:left w:w="108" w:type="dxa"/>
            <w:bottom w:w="0" w:type="dxa"/>
            <w:right w:w="108" w:type="dxa"/>
          </w:tblCellMar>
        </w:tblPrEx>
        <w:trPr>
          <w:trHeight w:val="680" w:hRule="atLeast"/>
        </w:trPr>
        <w:tc>
          <w:tcPr>
            <w:tcW w:w="4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 w:hAnsi="仿宋" w:eastAsia="仿宋" w:cs="仿宋"/>
                <w:b/>
                <w:bCs/>
                <w:color w:val="auto"/>
                <w:kern w:val="0"/>
                <w:sz w:val="21"/>
                <w:szCs w:val="21"/>
              </w:rPr>
            </w:pPr>
            <w:r>
              <w:rPr>
                <w:rFonts w:hint="eastAsia" w:ascii="仿宋" w:hAnsi="仿宋" w:eastAsia="仿宋" w:cs="仿宋"/>
                <w:color w:val="auto"/>
                <w:sz w:val="21"/>
                <w:szCs w:val="21"/>
              </w:rPr>
              <w:t>1</w:t>
            </w:r>
          </w:p>
        </w:tc>
        <w:tc>
          <w:tcPr>
            <w:tcW w:w="1054"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运动部件位置固定</w:t>
            </w:r>
          </w:p>
        </w:tc>
        <w:tc>
          <w:tcPr>
            <w:tcW w:w="177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轮、齿、盘、轴、叶片、滚筒等旋转部件和联轴器、传动带、链条等传动装置。</w:t>
            </w:r>
          </w:p>
        </w:tc>
        <w:tc>
          <w:tcPr>
            <w:tcW w:w="205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1.可能产生挤压、剪切、磕伤、碰伤、脱落飞出冲击、摩擦、割刺、缠绕、吸入或卷入等危险部位暴露或安全防护装置不完整或失效。</w:t>
            </w:r>
          </w:p>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2.违章作业或意外造成人体部位进入危险运动区域。</w:t>
            </w:r>
          </w:p>
        </w:tc>
        <w:tc>
          <w:tcPr>
            <w:tcW w:w="260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1.规范设置牢固可靠的防护罩（或挡板）。</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2.设备周围留有足够的操作和维修空间，操作位置有良好的通道及可视性。</w:t>
            </w:r>
          </w:p>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3.设备维护检修时应使用能量锁定装置（断电、上锁、挂牌）。</w:t>
            </w:r>
          </w:p>
        </w:tc>
        <w:tc>
          <w:tcPr>
            <w:tcW w:w="317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1.制定简单易行的岗位安全操作要点，并监督员工执行。</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2.设备、操作区域设置“当心机械伤人”安全警示标志。</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3.操作人员正确穿戴工作服（三紧）、劳保鞋、防冲击护目镜，禁止戴手套操作旋转部位、切割小料物件等。</w:t>
            </w:r>
          </w:p>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4.对岗位操作特别注意事项进行现场公示（特别是发生过事故的部位）。</w:t>
            </w:r>
          </w:p>
        </w:tc>
        <w:tc>
          <w:tcPr>
            <w:tcW w:w="374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仿宋" w:hAnsi="仿宋" w:eastAsia="仿宋" w:cs="仿宋"/>
                <w:b/>
                <w:bCs/>
                <w:color w:val="auto"/>
                <w:kern w:val="0"/>
                <w:sz w:val="21"/>
                <w:szCs w:val="21"/>
              </w:rPr>
            </w:pPr>
            <w:r>
              <w:rPr>
                <w:rFonts w:hint="eastAsia" w:ascii="仿宋" w:hAnsi="仿宋" w:eastAsia="仿宋" w:cs="仿宋"/>
                <w:color w:val="auto"/>
                <w:sz w:val="21"/>
                <w:szCs w:val="21"/>
              </w:rPr>
              <w:drawing>
                <wp:inline distT="0" distB="0" distL="0" distR="0">
                  <wp:extent cx="1940560" cy="1460500"/>
                  <wp:effectExtent l="0" t="0" r="2540" b="6350"/>
                  <wp:docPr id="10"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true"/>
                          </pic:cNvPicPr>
                        </pic:nvPicPr>
                        <pic:blipFill>
                          <a:blip r:embed="rId4"/>
                          <a:stretch>
                            <a:fillRect/>
                          </a:stretch>
                        </pic:blipFill>
                        <pic:spPr>
                          <a:xfrm>
                            <a:off x="0" y="0"/>
                            <a:ext cx="1940560" cy="1460500"/>
                          </a:xfrm>
                          <a:prstGeom prst="rect">
                            <a:avLst/>
                          </a:prstGeom>
                          <a:noFill/>
                          <a:ln w="9525">
                            <a:noFill/>
                          </a:ln>
                        </pic:spPr>
                      </pic:pic>
                    </a:graphicData>
                  </a:graphic>
                </wp:inline>
              </w:drawing>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1971040" cy="1657985"/>
                  <wp:effectExtent l="0" t="0" r="0" b="0"/>
                  <wp:docPr id="11"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true"/>
                          </pic:cNvPicPr>
                        </pic:nvPicPr>
                        <pic:blipFill>
                          <a:blip r:embed="rId5"/>
                          <a:stretch>
                            <a:fillRect/>
                          </a:stretch>
                        </pic:blipFill>
                        <pic:spPr>
                          <a:xfrm>
                            <a:off x="0" y="0"/>
                            <a:ext cx="1971040" cy="1657985"/>
                          </a:xfrm>
                          <a:prstGeom prst="rect">
                            <a:avLst/>
                          </a:prstGeom>
                          <a:noFill/>
                          <a:ln w="9525">
                            <a:noFill/>
                          </a:ln>
                        </pic:spPr>
                      </pic:pic>
                    </a:graphicData>
                  </a:graphic>
                </wp:inline>
              </w:drawing>
            </w:r>
            <w:bookmarkStart w:id="0" w:name="_GoBack"/>
            <w:bookmarkEnd w:id="0"/>
          </w:p>
          <w:p>
            <w:pPr>
              <w:widowControl/>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设备设施防护装置（罩、套）示意</w:t>
            </w:r>
          </w:p>
          <w:p>
            <w:pPr>
              <w:widowControl/>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vertAlign w:val="baseline"/>
                <w:lang w:eastAsia="zh-CN"/>
              </w:rPr>
              <w:t>强制拔钥匙的机械钥匙联锁系统</w:t>
            </w:r>
            <w:r>
              <w:rPr>
                <w:rFonts w:hint="eastAsia" w:ascii="仿宋" w:hAnsi="仿宋" w:eastAsia="仿宋" w:cs="仿宋"/>
                <w:color w:val="auto"/>
                <w:sz w:val="21"/>
                <w:szCs w:val="21"/>
                <w:lang w:eastAsia="zh-CN"/>
              </w:rPr>
              <w:drawing>
                <wp:anchor distT="0" distB="0" distL="114300" distR="114300" simplePos="0" relativeHeight="251659264" behindDoc="0" locked="0" layoutInCell="1" allowOverlap="1">
                  <wp:simplePos x="0" y="0"/>
                  <wp:positionH relativeFrom="column">
                    <wp:posOffset>205740</wp:posOffset>
                  </wp:positionH>
                  <wp:positionV relativeFrom="paragraph">
                    <wp:posOffset>104775</wp:posOffset>
                  </wp:positionV>
                  <wp:extent cx="1951990" cy="1450340"/>
                  <wp:effectExtent l="0" t="0" r="3810" b="10160"/>
                  <wp:wrapSquare wrapText="bothSides"/>
                  <wp:docPr id="29" name="图片 29" descr="IMG_20221007_1417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29" descr="IMG_20221007_141700"/>
                          <pic:cNvPicPr>
                            <a:picLocks noChangeAspect="true"/>
                          </pic:cNvPicPr>
                        </pic:nvPicPr>
                        <pic:blipFill>
                          <a:blip r:embed="rId6"/>
                          <a:stretch>
                            <a:fillRect/>
                          </a:stretch>
                        </pic:blipFill>
                        <pic:spPr>
                          <a:xfrm>
                            <a:off x="0" y="0"/>
                            <a:ext cx="1951990" cy="1450340"/>
                          </a:xfrm>
                          <a:prstGeom prst="rect">
                            <a:avLst/>
                          </a:prstGeom>
                        </pic:spPr>
                      </pic:pic>
                    </a:graphicData>
                  </a:graphic>
                </wp:anchor>
              </w:drawing>
            </w:r>
            <w:r>
              <w:rPr>
                <w:rFonts w:hint="eastAsia" w:ascii="仿宋" w:hAnsi="仿宋" w:eastAsia="仿宋" w:cs="仿宋"/>
                <w:color w:val="auto"/>
                <w:sz w:val="21"/>
                <w:szCs w:val="21"/>
                <w:vertAlign w:val="baseline"/>
                <w:lang w:val="en-US" w:eastAsia="zh-CN"/>
              </w:rPr>
              <w:t>示意</w:t>
            </w:r>
          </w:p>
        </w:tc>
      </w:tr>
      <w:tr>
        <w:tblPrEx>
          <w:tblCellMar>
            <w:top w:w="0" w:type="dxa"/>
            <w:left w:w="108" w:type="dxa"/>
            <w:bottom w:w="0" w:type="dxa"/>
            <w:right w:w="108" w:type="dxa"/>
          </w:tblCellMar>
        </w:tblPrEx>
        <w:trPr>
          <w:trHeight w:val="680" w:hRule="atLeast"/>
        </w:trPr>
        <w:tc>
          <w:tcPr>
            <w:tcW w:w="4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 w:hAnsi="仿宋" w:eastAsia="仿宋" w:cs="仿宋"/>
                <w:b/>
                <w:bCs/>
                <w:color w:val="auto"/>
                <w:kern w:val="0"/>
                <w:sz w:val="21"/>
                <w:szCs w:val="21"/>
              </w:rPr>
            </w:pPr>
            <w:r>
              <w:rPr>
                <w:rFonts w:hint="eastAsia" w:ascii="仿宋" w:hAnsi="仿宋" w:eastAsia="仿宋" w:cs="仿宋"/>
                <w:color w:val="auto"/>
                <w:sz w:val="21"/>
                <w:szCs w:val="21"/>
              </w:rPr>
              <w:t>2</w:t>
            </w:r>
          </w:p>
        </w:tc>
        <w:tc>
          <w:tcPr>
            <w:tcW w:w="1054"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运动部件与固定部件的距离相对固定或往复循环运动。</w:t>
            </w:r>
          </w:p>
        </w:tc>
        <w:tc>
          <w:tcPr>
            <w:tcW w:w="177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压块、刀口、锯齿等往复运动部件和联轴器、传动带、链条等传动装置。</w:t>
            </w:r>
          </w:p>
        </w:tc>
        <w:tc>
          <w:tcPr>
            <w:tcW w:w="205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维修、调试、清扫、更换、上下工件时人体部位进入危险运动区域。</w:t>
            </w:r>
          </w:p>
        </w:tc>
        <w:tc>
          <w:tcPr>
            <w:tcW w:w="260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1.启动按钮、脚踏开关采取设置防护罩或双手操纵开关等有效防止误启动防护措施。</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2.控制面板设置急停开关，急停应满足GB/T16754-2021机械安全急停功能设计原则规定的0类停机功能，停止所有危险动作（例如刀架、后挡料、托料、夹持装置）。</w:t>
            </w:r>
          </w:p>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3.设置光电保护装置、行程限位连锁防护装置等防止人体进入、接触危险部位的安全装置。</w:t>
            </w:r>
          </w:p>
        </w:tc>
        <w:tc>
          <w:tcPr>
            <w:tcW w:w="317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1.制定简单易行的岗位安全操作要点，并监督员工执行。</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2.设备、操作区域设置“当心机械伤人”安全警示标志。</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3.操作人员正确穿戴工作服（三紧）、劳保鞋、防冲击护目镜。</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4.严禁对转动设备未停止运转或采取有效断电措施时进行擦拭、调整、清扫等违规作业。</w:t>
            </w:r>
          </w:p>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5.对岗位操作特别注意事项进行现场公示（特别是发生过事故的部位）。</w:t>
            </w:r>
          </w:p>
        </w:tc>
        <w:tc>
          <w:tcPr>
            <w:tcW w:w="374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仿宋" w:hAnsi="仿宋" w:eastAsia="仿宋" w:cs="仿宋"/>
                <w:b/>
                <w:bCs/>
                <w:color w:val="auto"/>
                <w:kern w:val="0"/>
                <w:sz w:val="21"/>
                <w:szCs w:val="21"/>
              </w:rPr>
            </w:pP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1949450" cy="1511935"/>
                  <wp:effectExtent l="0" t="0" r="6350" b="12065"/>
                  <wp:docPr id="17"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true"/>
                          </pic:cNvPicPr>
                        </pic:nvPicPr>
                        <pic:blipFill>
                          <a:blip r:embed="rId7"/>
                          <a:stretch>
                            <a:fillRect/>
                          </a:stretch>
                        </pic:blipFill>
                        <pic:spPr>
                          <a:xfrm>
                            <a:off x="0" y="0"/>
                            <a:ext cx="1949450" cy="1511935"/>
                          </a:xfrm>
                          <a:prstGeom prst="rect">
                            <a:avLst/>
                          </a:prstGeom>
                          <a:noFill/>
                          <a:ln w="9525">
                            <a:noFill/>
                          </a:ln>
                        </pic:spPr>
                      </pic:pic>
                    </a:graphicData>
                  </a:graphic>
                </wp:inline>
              </w:drawing>
            </w:r>
            <w:r>
              <w:rPr>
                <w:rFonts w:hint="eastAsia" w:ascii="仿宋" w:hAnsi="仿宋" w:eastAsia="仿宋" w:cs="仿宋"/>
                <w:color w:val="auto"/>
                <w:sz w:val="21"/>
                <w:szCs w:val="21"/>
              </w:rPr>
              <w:drawing>
                <wp:inline distT="0" distB="0" distL="0" distR="0">
                  <wp:extent cx="1949450" cy="1489710"/>
                  <wp:effectExtent l="38100" t="38100" r="31750" b="34290"/>
                  <wp:docPr id="14" name="Picture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Picture 2"/>
                          <pic:cNvPicPr>
                            <a:picLocks noChangeAspect="true"/>
                          </pic:cNvPicPr>
                        </pic:nvPicPr>
                        <pic:blipFill>
                          <a:blip r:embed="rId8">
                            <a:lum bright="23996" contrast="17998"/>
                          </a:blip>
                          <a:stretch>
                            <a:fillRect/>
                          </a:stretch>
                        </pic:blipFill>
                        <pic:spPr>
                          <a:xfrm>
                            <a:off x="0" y="0"/>
                            <a:ext cx="1949450" cy="1489710"/>
                          </a:xfrm>
                          <a:prstGeom prst="rect">
                            <a:avLst/>
                          </a:prstGeom>
                          <a:noFill/>
                          <a:ln w="38100" cap="sq" cmpd="sng">
                            <a:solidFill>
                              <a:srgbClr val="FFFFFF"/>
                            </a:solidFill>
                            <a:prstDash val="solid"/>
                            <a:miter/>
                            <a:headEnd type="none" w="sm" len="sm"/>
                            <a:tailEnd type="none" w="sm" len="sm"/>
                          </a:ln>
                        </pic:spPr>
                      </pic:pic>
                    </a:graphicData>
                  </a:graphic>
                </wp:inline>
              </w:drawing>
            </w:r>
          </w:p>
          <w:p>
            <w:pPr>
              <w:widowControl/>
              <w:jc w:val="center"/>
              <w:rPr>
                <w:rFonts w:hint="eastAsia" w:ascii="仿宋" w:hAnsi="仿宋" w:eastAsia="仿宋" w:cs="仿宋"/>
                <w:b/>
                <w:bCs/>
                <w:color w:val="auto"/>
                <w:kern w:val="0"/>
                <w:sz w:val="21"/>
                <w:szCs w:val="21"/>
              </w:rPr>
            </w:pPr>
            <w:r>
              <w:rPr>
                <w:rFonts w:hint="eastAsia" w:ascii="仿宋" w:hAnsi="仿宋" w:eastAsia="仿宋" w:cs="仿宋"/>
                <w:color w:val="auto"/>
                <w:sz w:val="21"/>
                <w:szCs w:val="21"/>
                <w:lang w:val="en-US" w:eastAsia="zh-CN"/>
              </w:rPr>
              <w:t>双手操作、光电保护、急停开关示意</w:t>
            </w:r>
          </w:p>
        </w:tc>
      </w:tr>
      <w:tr>
        <w:tblPrEx>
          <w:tblCellMar>
            <w:top w:w="0" w:type="dxa"/>
            <w:left w:w="108" w:type="dxa"/>
            <w:bottom w:w="0" w:type="dxa"/>
            <w:right w:w="108" w:type="dxa"/>
          </w:tblCellMar>
        </w:tblPrEx>
        <w:trPr>
          <w:trHeight w:val="680" w:hRule="atLeast"/>
        </w:trPr>
        <w:tc>
          <w:tcPr>
            <w:tcW w:w="4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 w:hAnsi="仿宋" w:eastAsia="仿宋" w:cs="仿宋"/>
                <w:b/>
                <w:bCs/>
                <w:color w:val="auto"/>
                <w:kern w:val="0"/>
                <w:sz w:val="21"/>
                <w:szCs w:val="21"/>
              </w:rPr>
            </w:pPr>
            <w:r>
              <w:rPr>
                <w:rFonts w:hint="eastAsia" w:ascii="仿宋" w:hAnsi="仿宋" w:eastAsia="仿宋" w:cs="仿宋"/>
                <w:color w:val="auto"/>
                <w:sz w:val="21"/>
                <w:szCs w:val="21"/>
              </w:rPr>
              <w:t>3</w:t>
            </w:r>
          </w:p>
        </w:tc>
        <w:tc>
          <w:tcPr>
            <w:tcW w:w="1054"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工艺过程连续，机械伤害种类复杂。</w:t>
            </w:r>
          </w:p>
        </w:tc>
        <w:tc>
          <w:tcPr>
            <w:tcW w:w="177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输送（皮带、链板、绞龙等）、摆渡、加工、装配、检选、涂装，投料口等生产线。</w:t>
            </w:r>
          </w:p>
        </w:tc>
        <w:tc>
          <w:tcPr>
            <w:tcW w:w="205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人员参观、上下料、巡视、维修、穿（跨）越时靠近接触无防护运动部件。</w:t>
            </w:r>
          </w:p>
        </w:tc>
        <w:tc>
          <w:tcPr>
            <w:tcW w:w="260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1.划设人员行走通道，设备周围留有足够的操作和维修空间，操作位置有良好的通道及可视性。</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2.皮带输送机的控制台、操作工位、生产线每隔20m长度范围内至少设置一个急停开关；人行一侧，设置全程的拉绳急停开关。</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3.跨越人行通道上方的输送皮带底部设置防护板；穿越生产线上方的过桥通道两侧设置防护栏（或板）。</w:t>
            </w:r>
          </w:p>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4.高风险的动设备设施要依照《机械加工设备一般安全要求》GB12266和《机械安全急停功能设计原则》GB/T16754-2021/在危险岗位要建立三道防护网：一是设备自身有防护如防护罩；二是人员靠近有防护如防护栏杆、视觉投影等；三是人员一旦接触或卷入有自动停止设备的感应系统防护功能如红外线感应。</w:t>
            </w:r>
          </w:p>
        </w:tc>
        <w:tc>
          <w:tcPr>
            <w:tcW w:w="317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1.制定简单易行的岗位安全操作要点，并监督员工执行。</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2.设备的调整、维护、修理和清洁工作必须在停机时进行，检维修办理作业票，并有防止意外开机措施。</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3.设备设施设置“当心机械伤人”、“禁止跨越”、“当心落物”等安全标志。</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4.操作人员正确穿戴工作服、劳保鞋、防冲击护目镜。</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5.严禁擦拭触碰运转设备、严禁伸入皮带下侧打扫卫生等作业，严禁未断电确认进行检维修或操作.严禁擦拭触碰运转设备。</w:t>
            </w:r>
          </w:p>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6.工艺生产过程存在异常工况操作的，企业需要明确操作要求如钢管生产线对回弹的钢管进行调整作业，应先停止后方送料再作业或用专用工具远距离调整等，防止伤害事故。</w:t>
            </w:r>
          </w:p>
        </w:tc>
        <w:tc>
          <w:tcPr>
            <w:tcW w:w="374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仿宋" w:hAnsi="仿宋" w:eastAsia="仿宋" w:cs="仿宋"/>
                <w:b/>
                <w:bCs/>
                <w:color w:val="auto"/>
                <w:kern w:val="0"/>
                <w:sz w:val="21"/>
                <w:szCs w:val="21"/>
              </w:rPr>
            </w:pPr>
            <w:r>
              <w:rPr>
                <w:rFonts w:hint="eastAsia" w:ascii="仿宋" w:hAnsi="仿宋" w:eastAsia="仿宋" w:cs="仿宋"/>
                <w:snapToGrid/>
                <w:color w:val="auto"/>
                <w:sz w:val="21"/>
                <w:szCs w:val="21"/>
                <w:lang w:eastAsia="zh-CN"/>
              </w:rPr>
              <w:drawing>
                <wp:inline distT="0" distB="0" distL="114300" distR="114300">
                  <wp:extent cx="1776095" cy="1417320"/>
                  <wp:effectExtent l="0" t="0" r="1905" b="5080"/>
                  <wp:docPr id="5" name="图片 5" descr="223873c7b46253e4458d393b9cc4f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5" descr="223873c7b46253e4458d393b9cc4f10"/>
                          <pic:cNvPicPr>
                            <a:picLocks noChangeAspect="true"/>
                          </pic:cNvPicPr>
                        </pic:nvPicPr>
                        <pic:blipFill>
                          <a:blip r:embed="rId9"/>
                          <a:stretch>
                            <a:fillRect/>
                          </a:stretch>
                        </pic:blipFill>
                        <pic:spPr>
                          <a:xfrm>
                            <a:off x="0" y="0"/>
                            <a:ext cx="1776095" cy="1417320"/>
                          </a:xfrm>
                          <a:prstGeom prst="rect">
                            <a:avLst/>
                          </a:prstGeom>
                        </pic:spPr>
                      </pic:pic>
                    </a:graphicData>
                  </a:graphic>
                </wp:inline>
              </w:drawing>
            </w:r>
          </w:p>
          <w:p>
            <w:pPr>
              <w:widowControl/>
              <w:jc w:val="center"/>
              <w:rPr>
                <w:rFonts w:hint="eastAsia" w:ascii="仿宋" w:hAnsi="仿宋" w:eastAsia="仿宋" w:cs="仿宋"/>
                <w:color w:val="auto"/>
                <w:sz w:val="21"/>
                <w:szCs w:val="21"/>
              </w:rPr>
            </w:pPr>
            <w:r>
              <w:rPr>
                <w:rFonts w:hint="eastAsia" w:ascii="仿宋" w:hAnsi="仿宋" w:eastAsia="仿宋" w:cs="仿宋"/>
                <w:snapToGrid/>
                <w:color w:val="auto"/>
                <w:sz w:val="21"/>
                <w:szCs w:val="21"/>
                <w:lang w:eastAsia="zh-CN"/>
              </w:rPr>
              <w:drawing>
                <wp:inline distT="0" distB="0" distL="114300" distR="114300">
                  <wp:extent cx="1968500" cy="1458595"/>
                  <wp:effectExtent l="0" t="0" r="0" b="1905"/>
                  <wp:docPr id="13" name="图片 13" descr="950b0b374dbcd66a5184ddfe465d6bd"/>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13" descr="950b0b374dbcd66a5184ddfe465d6bd"/>
                          <pic:cNvPicPr>
                            <a:picLocks noChangeAspect="true"/>
                          </pic:cNvPicPr>
                        </pic:nvPicPr>
                        <pic:blipFill>
                          <a:blip r:embed="rId10"/>
                          <a:stretch>
                            <a:fillRect/>
                          </a:stretch>
                        </pic:blipFill>
                        <pic:spPr>
                          <a:xfrm>
                            <a:off x="0" y="0"/>
                            <a:ext cx="1968500" cy="1458595"/>
                          </a:xfrm>
                          <a:prstGeom prst="rect">
                            <a:avLst/>
                          </a:prstGeom>
                        </pic:spPr>
                      </pic:pic>
                    </a:graphicData>
                  </a:graphic>
                </wp:inline>
              </w:drawing>
            </w:r>
          </w:p>
          <w:p>
            <w:pPr>
              <w:widowControl/>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机头、机尾、皮带廊封闭示意</w:t>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2058035" cy="1497330"/>
                  <wp:effectExtent l="0" t="0" r="0" b="7620"/>
                  <wp:docPr id="16"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true"/>
                          </pic:cNvPicPr>
                        </pic:nvPicPr>
                        <pic:blipFill>
                          <a:blip r:embed="rId11"/>
                          <a:srcRect/>
                          <a:stretch>
                            <a:fillRect/>
                          </a:stretch>
                        </pic:blipFill>
                        <pic:spPr>
                          <a:xfrm>
                            <a:off x="0" y="0"/>
                            <a:ext cx="2058035" cy="1497330"/>
                          </a:xfrm>
                          <a:prstGeom prst="rect">
                            <a:avLst/>
                          </a:prstGeom>
                          <a:noFill/>
                          <a:ln w="9525">
                            <a:noFill/>
                          </a:ln>
                        </pic:spPr>
                      </pic:pic>
                    </a:graphicData>
                  </a:graphic>
                </wp:inline>
              </w:drawing>
            </w:r>
          </w:p>
          <w:p>
            <w:pPr>
              <w:widowControl/>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红外线感应示意</w:t>
            </w:r>
          </w:p>
        </w:tc>
      </w:tr>
      <w:tr>
        <w:tblPrEx>
          <w:tblCellMar>
            <w:top w:w="0" w:type="dxa"/>
            <w:left w:w="108" w:type="dxa"/>
            <w:bottom w:w="0" w:type="dxa"/>
            <w:right w:w="108" w:type="dxa"/>
          </w:tblCellMar>
        </w:tblPrEx>
        <w:trPr>
          <w:trHeight w:val="5918" w:hRule="atLeast"/>
        </w:trPr>
        <w:tc>
          <w:tcPr>
            <w:tcW w:w="4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 w:hAnsi="仿宋" w:eastAsia="仿宋" w:cs="仿宋"/>
                <w:b/>
                <w:bCs/>
                <w:color w:val="auto"/>
                <w:kern w:val="0"/>
                <w:sz w:val="21"/>
                <w:szCs w:val="21"/>
              </w:rPr>
            </w:pPr>
            <w:r>
              <w:rPr>
                <w:rFonts w:hint="eastAsia" w:ascii="仿宋" w:hAnsi="仿宋" w:eastAsia="仿宋" w:cs="仿宋"/>
                <w:color w:val="auto"/>
                <w:sz w:val="21"/>
                <w:szCs w:val="21"/>
              </w:rPr>
              <w:t>4</w:t>
            </w:r>
          </w:p>
        </w:tc>
        <w:tc>
          <w:tcPr>
            <w:tcW w:w="1054"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运动设备、部件处于某一区域内。</w:t>
            </w:r>
          </w:p>
        </w:tc>
        <w:tc>
          <w:tcPr>
            <w:tcW w:w="177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移动机械、供料装置和工业机器人、设备动平衡试验区域。</w:t>
            </w:r>
          </w:p>
        </w:tc>
        <w:tc>
          <w:tcPr>
            <w:tcW w:w="205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人员违章进入危险区域。</w:t>
            </w:r>
          </w:p>
        </w:tc>
        <w:tc>
          <w:tcPr>
            <w:tcW w:w="260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1.自动、半自动机器人、机械臂、动平衡试验作业区域设置防护栅栏。栅栏与运动部件、机械臂保持安全操作间距。</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2.移动机械运动部件、转动及传动部位规范设置牢固可靠的防护罩（或挡板）。</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3.投料口设置防护栏，喂料机传动部位设置护罩。</w:t>
            </w:r>
          </w:p>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4.自动、半自动机器人、机械臂、冲压生产线防护栅栏入口设置开门停机联锁防护装置。</w:t>
            </w:r>
          </w:p>
        </w:tc>
        <w:tc>
          <w:tcPr>
            <w:tcW w:w="317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1.制定简单易行的岗位安全操作要点，并监督员工执行。</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2.设备的调整、维护、修理和清洁工作必须在停机时进行，检维修办理作业票，并有防止意外开机措施。</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3.设备设施设置“当心机械伤人”安全警示标志。危险区域设置“禁止靠近”安全标志。</w:t>
            </w:r>
          </w:p>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4.操作人员正确穿戴工作服、劳保鞋、防冲击护目镜。</w:t>
            </w:r>
          </w:p>
        </w:tc>
        <w:tc>
          <w:tcPr>
            <w:tcW w:w="374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1820545" cy="1367155"/>
                  <wp:effectExtent l="0" t="0" r="8255" b="4445"/>
                  <wp:docPr id="12" name="图片 11" descr="微信图片_2022110417544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11" descr="微信图片_20221104175445"/>
                          <pic:cNvPicPr>
                            <a:picLocks noChangeAspect="true"/>
                          </pic:cNvPicPr>
                        </pic:nvPicPr>
                        <pic:blipFill>
                          <a:blip r:embed="rId12"/>
                          <a:stretch>
                            <a:fillRect/>
                          </a:stretch>
                        </pic:blipFill>
                        <pic:spPr>
                          <a:xfrm>
                            <a:off x="0" y="0"/>
                            <a:ext cx="1820545" cy="1367155"/>
                          </a:xfrm>
                          <a:prstGeom prst="rect">
                            <a:avLst/>
                          </a:prstGeom>
                          <a:noFill/>
                          <a:ln w="9525">
                            <a:noFill/>
                          </a:ln>
                        </pic:spPr>
                      </pic:pic>
                    </a:graphicData>
                  </a:graphic>
                </wp:inline>
              </w:drawing>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vertAlign w:val="baseline"/>
                <w:lang w:val="en-US" w:eastAsia="zh-CN"/>
              </w:rPr>
              <w:t>防护栏及触碰连锁停机示意</w:t>
            </w:r>
          </w:p>
          <w:p>
            <w:pPr>
              <w:widowControl/>
              <w:jc w:val="center"/>
              <w:rPr>
                <w:rFonts w:hint="eastAsia" w:ascii="仿宋" w:hAnsi="仿宋" w:eastAsia="仿宋" w:cs="仿宋"/>
                <w:snapToGrid/>
                <w:color w:val="auto"/>
                <w:sz w:val="21"/>
                <w:szCs w:val="21"/>
                <w:lang w:eastAsia="zh-CN"/>
              </w:rPr>
            </w:pPr>
            <w:r>
              <w:rPr>
                <w:rFonts w:hint="eastAsia" w:ascii="仿宋" w:hAnsi="仿宋" w:eastAsia="仿宋" w:cs="仿宋"/>
                <w:snapToGrid/>
                <w:color w:val="auto"/>
                <w:sz w:val="21"/>
                <w:szCs w:val="21"/>
                <w:lang w:eastAsia="zh-CN"/>
              </w:rPr>
              <w:drawing>
                <wp:inline distT="0" distB="0" distL="114300" distR="114300">
                  <wp:extent cx="1878330" cy="1452880"/>
                  <wp:effectExtent l="0" t="0" r="1270" b="7620"/>
                  <wp:docPr id="15" name="图片 15" descr="5b9368188c08a7a03514c70ffb6bf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15" descr="5b9368188c08a7a03514c70ffb6bf44"/>
                          <pic:cNvPicPr>
                            <a:picLocks noChangeAspect="true"/>
                          </pic:cNvPicPr>
                        </pic:nvPicPr>
                        <pic:blipFill>
                          <a:blip r:embed="rId13"/>
                          <a:stretch>
                            <a:fillRect/>
                          </a:stretch>
                        </pic:blipFill>
                        <pic:spPr>
                          <a:xfrm>
                            <a:off x="0" y="0"/>
                            <a:ext cx="1878330" cy="1452880"/>
                          </a:xfrm>
                          <a:prstGeom prst="rect">
                            <a:avLst/>
                          </a:prstGeom>
                        </pic:spPr>
                      </pic:pic>
                    </a:graphicData>
                  </a:graphic>
                </wp:inline>
              </w:drawing>
            </w:r>
          </w:p>
          <w:p>
            <w:pPr>
              <w:widowControl/>
              <w:jc w:val="center"/>
              <w:rPr>
                <w:rFonts w:hint="eastAsia" w:ascii="仿宋" w:hAnsi="仿宋" w:eastAsia="仿宋" w:cs="仿宋"/>
                <w:snapToGrid/>
                <w:color w:val="auto"/>
                <w:sz w:val="21"/>
                <w:szCs w:val="21"/>
                <w:lang w:val="en-US" w:eastAsia="zh-CN"/>
              </w:rPr>
            </w:pPr>
            <w:r>
              <w:rPr>
                <w:rFonts w:hint="eastAsia" w:ascii="仿宋" w:hAnsi="仿宋" w:eastAsia="仿宋" w:cs="仿宋"/>
                <w:color w:val="auto"/>
                <w:sz w:val="21"/>
                <w:szCs w:val="21"/>
                <w:vertAlign w:val="baseline"/>
                <w:lang w:eastAsia="zh-CN"/>
              </w:rPr>
              <w:t>设备设施红外线感应报警连锁</w:t>
            </w:r>
            <w:r>
              <w:rPr>
                <w:rFonts w:hint="eastAsia" w:ascii="仿宋" w:hAnsi="仿宋" w:eastAsia="仿宋" w:cs="仿宋"/>
                <w:color w:val="auto"/>
                <w:sz w:val="21"/>
                <w:szCs w:val="21"/>
                <w:vertAlign w:val="baseline"/>
                <w:lang w:val="en-US" w:eastAsia="zh-CN"/>
              </w:rPr>
              <w:t>示意</w:t>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1877060" cy="1651635"/>
                  <wp:effectExtent l="0" t="0" r="8890" b="5715"/>
                  <wp:docPr id="18"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true"/>
                          </pic:cNvPicPr>
                        </pic:nvPicPr>
                        <pic:blipFill>
                          <a:blip r:embed="rId14"/>
                          <a:stretch>
                            <a:fillRect/>
                          </a:stretch>
                        </pic:blipFill>
                        <pic:spPr>
                          <a:xfrm>
                            <a:off x="0" y="0"/>
                            <a:ext cx="1877060" cy="1651635"/>
                          </a:xfrm>
                          <a:prstGeom prst="rect">
                            <a:avLst/>
                          </a:prstGeom>
                          <a:noFill/>
                          <a:ln w="9525">
                            <a:noFill/>
                          </a:ln>
                        </pic:spPr>
                      </pic:pic>
                    </a:graphicData>
                  </a:graphic>
                </wp:inline>
              </w:drawing>
            </w:r>
          </w:p>
          <w:p>
            <w:pPr>
              <w:widowControl/>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光影安全警示隔离标识</w:t>
            </w:r>
            <w:r>
              <w:rPr>
                <w:rFonts w:hint="eastAsia" w:ascii="仿宋" w:hAnsi="仿宋" w:eastAsia="仿宋" w:cs="仿宋"/>
                <w:color w:val="auto"/>
                <w:sz w:val="21"/>
                <w:szCs w:val="21"/>
                <w:vertAlign w:val="baseline"/>
                <w:lang w:val="en-US" w:eastAsia="zh-CN"/>
              </w:rPr>
              <w:t>示意</w:t>
            </w:r>
          </w:p>
        </w:tc>
      </w:tr>
    </w:tbl>
    <w:p>
      <w:pPr>
        <w:rPr>
          <w:rFonts w:ascii="宋体" w:hAnsi="宋体" w:eastAsia="宋体"/>
          <w:sz w:val="28"/>
          <w:szCs w:val="32"/>
        </w:rPr>
      </w:pPr>
      <w:r>
        <w:rPr>
          <w:rFonts w:ascii="宋体" w:hAnsi="宋体" w:eastAsia="宋体"/>
          <w:sz w:val="28"/>
          <w:szCs w:val="32"/>
        </w:rPr>
        <w:br w:type="page"/>
      </w:r>
    </w:p>
    <w:p>
      <w:pP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2.冶金行业典型机械伤害</w:t>
      </w:r>
      <w:r>
        <w:rPr>
          <w:rFonts w:hint="eastAsia" w:ascii="楷体_GB2312" w:hAnsi="楷体_GB2312" w:eastAsia="楷体_GB2312" w:cs="楷体_GB2312"/>
          <w:color w:val="auto"/>
          <w:sz w:val="28"/>
          <w:szCs w:val="32"/>
        </w:rPr>
        <w:t>事故</w:t>
      </w:r>
      <w:r>
        <w:rPr>
          <w:rFonts w:hint="eastAsia" w:ascii="楷体_GB2312" w:hAnsi="楷体_GB2312" w:eastAsia="楷体_GB2312" w:cs="楷体_GB2312"/>
          <w:sz w:val="28"/>
          <w:szCs w:val="32"/>
        </w:rPr>
        <w:t>管控措施</w:t>
      </w:r>
    </w:p>
    <w:tbl>
      <w:tblPr>
        <w:tblStyle w:val="5"/>
        <w:tblW w:w="148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7"/>
        <w:gridCol w:w="879"/>
        <w:gridCol w:w="2014"/>
        <w:gridCol w:w="2219"/>
        <w:gridCol w:w="2243"/>
        <w:gridCol w:w="3166"/>
        <w:gridCol w:w="3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center"/>
              <w:rPr>
                <w:rFonts w:hint="eastAsia" w:ascii="黑体" w:hAnsi="黑体" w:eastAsia="黑体" w:cs="黑体"/>
                <w:color w:val="000000"/>
                <w:kern w:val="0"/>
                <w:sz w:val="21"/>
                <w:szCs w:val="21"/>
              </w:rPr>
            </w:pPr>
            <w:r>
              <w:rPr>
                <w:rFonts w:hint="eastAsia" w:ascii="黑体" w:hAnsi="黑体" w:eastAsia="黑体" w:cs="黑体"/>
                <w:color w:val="000000"/>
                <w:kern w:val="0"/>
                <w:sz w:val="21"/>
                <w:szCs w:val="21"/>
              </w:rPr>
              <w:t>序号</w:t>
            </w:r>
          </w:p>
        </w:tc>
        <w:tc>
          <w:tcPr>
            <w:tcW w:w="879" w:type="dxa"/>
            <w:shd w:val="clear" w:color="auto" w:fill="auto"/>
            <w:vAlign w:val="center"/>
          </w:tcPr>
          <w:p>
            <w:pPr>
              <w:widowControl/>
              <w:jc w:val="center"/>
              <w:rPr>
                <w:rFonts w:hint="eastAsia" w:ascii="黑体" w:hAnsi="黑体" w:eastAsia="黑体" w:cs="黑体"/>
                <w:color w:val="000000"/>
                <w:kern w:val="0"/>
                <w:sz w:val="21"/>
                <w:szCs w:val="21"/>
              </w:rPr>
            </w:pPr>
            <w:r>
              <w:rPr>
                <w:rFonts w:hint="eastAsia" w:ascii="黑体" w:hAnsi="黑体" w:eastAsia="黑体" w:cs="黑体"/>
                <w:color w:val="000000"/>
                <w:kern w:val="0"/>
                <w:sz w:val="21"/>
                <w:szCs w:val="21"/>
              </w:rPr>
              <w:t>中类行业名称</w:t>
            </w:r>
          </w:p>
        </w:tc>
        <w:tc>
          <w:tcPr>
            <w:tcW w:w="2014" w:type="dxa"/>
            <w:shd w:val="clear" w:color="auto" w:fill="auto"/>
            <w:vAlign w:val="center"/>
          </w:tcPr>
          <w:p>
            <w:pPr>
              <w:widowControl/>
              <w:jc w:val="center"/>
              <w:rPr>
                <w:rFonts w:hint="eastAsia" w:ascii="黑体" w:hAnsi="黑体" w:eastAsia="黑体" w:cs="黑体"/>
                <w:color w:val="000000"/>
                <w:kern w:val="0"/>
                <w:sz w:val="21"/>
                <w:szCs w:val="21"/>
              </w:rPr>
            </w:pPr>
            <w:r>
              <w:rPr>
                <w:rFonts w:hint="eastAsia" w:ascii="黑体" w:hAnsi="黑体" w:eastAsia="黑体" w:cs="黑体"/>
                <w:color w:val="000000"/>
                <w:kern w:val="0"/>
                <w:sz w:val="21"/>
                <w:szCs w:val="21"/>
              </w:rPr>
              <w:t>典型设备设施或作业活动举例</w:t>
            </w:r>
          </w:p>
        </w:tc>
        <w:tc>
          <w:tcPr>
            <w:tcW w:w="2219" w:type="dxa"/>
            <w:shd w:val="clear" w:color="auto" w:fill="auto"/>
            <w:vAlign w:val="center"/>
          </w:tcPr>
          <w:p>
            <w:pPr>
              <w:widowControl/>
              <w:jc w:val="center"/>
              <w:rPr>
                <w:rFonts w:hint="eastAsia" w:ascii="黑体" w:hAnsi="黑体" w:eastAsia="黑体" w:cs="黑体"/>
                <w:color w:val="000000"/>
                <w:kern w:val="0"/>
                <w:sz w:val="21"/>
                <w:szCs w:val="21"/>
              </w:rPr>
            </w:pPr>
            <w:r>
              <w:rPr>
                <w:rFonts w:hint="eastAsia" w:ascii="黑体" w:hAnsi="黑体" w:eastAsia="黑体" w:cs="黑体"/>
                <w:color w:val="000000"/>
                <w:kern w:val="0"/>
                <w:sz w:val="21"/>
                <w:szCs w:val="21"/>
              </w:rPr>
              <w:t>事故原因</w:t>
            </w:r>
          </w:p>
        </w:tc>
        <w:tc>
          <w:tcPr>
            <w:tcW w:w="2243" w:type="dxa"/>
            <w:shd w:val="clear" w:color="auto" w:fill="auto"/>
            <w:vAlign w:val="center"/>
          </w:tcPr>
          <w:p>
            <w:pPr>
              <w:widowControl/>
              <w:jc w:val="center"/>
              <w:rPr>
                <w:rFonts w:hint="eastAsia" w:ascii="黑体" w:hAnsi="黑体" w:eastAsia="黑体" w:cs="黑体"/>
                <w:color w:val="000000"/>
                <w:kern w:val="0"/>
                <w:sz w:val="21"/>
                <w:szCs w:val="21"/>
              </w:rPr>
            </w:pPr>
            <w:r>
              <w:rPr>
                <w:rFonts w:hint="eastAsia" w:ascii="黑体" w:hAnsi="黑体" w:eastAsia="黑体" w:cs="黑体"/>
                <w:color w:val="000000"/>
                <w:kern w:val="0"/>
                <w:sz w:val="21"/>
                <w:szCs w:val="21"/>
              </w:rPr>
              <w:t>典型工程技术措施</w:t>
            </w:r>
          </w:p>
        </w:tc>
        <w:tc>
          <w:tcPr>
            <w:tcW w:w="3166" w:type="dxa"/>
            <w:shd w:val="clear" w:color="auto" w:fill="auto"/>
            <w:vAlign w:val="center"/>
          </w:tcPr>
          <w:p>
            <w:pPr>
              <w:widowControl/>
              <w:jc w:val="center"/>
              <w:rPr>
                <w:rFonts w:hint="eastAsia" w:ascii="黑体" w:hAnsi="黑体" w:eastAsia="黑体" w:cs="黑体"/>
                <w:color w:val="000000"/>
                <w:kern w:val="0"/>
                <w:sz w:val="21"/>
                <w:szCs w:val="21"/>
              </w:rPr>
            </w:pPr>
            <w:r>
              <w:rPr>
                <w:rFonts w:hint="eastAsia" w:ascii="黑体" w:hAnsi="黑体" w:eastAsia="黑体" w:cs="黑体"/>
                <w:color w:val="000000"/>
                <w:kern w:val="0"/>
                <w:sz w:val="21"/>
                <w:szCs w:val="21"/>
              </w:rPr>
              <w:t>典型的管理措施</w:t>
            </w:r>
          </w:p>
        </w:tc>
        <w:tc>
          <w:tcPr>
            <w:tcW w:w="3816" w:type="dxa"/>
            <w:shd w:val="clear" w:color="auto" w:fill="auto"/>
            <w:vAlign w:val="center"/>
          </w:tcPr>
          <w:p>
            <w:pPr>
              <w:widowControl/>
              <w:jc w:val="center"/>
              <w:rPr>
                <w:rFonts w:hint="eastAsia" w:ascii="黑体" w:hAnsi="黑体" w:eastAsia="黑体" w:cs="黑体"/>
                <w:color w:val="000000"/>
                <w:kern w:val="0"/>
                <w:sz w:val="21"/>
                <w:szCs w:val="21"/>
              </w:rPr>
            </w:pPr>
            <w:r>
              <w:rPr>
                <w:rFonts w:hint="eastAsia" w:ascii="黑体" w:hAnsi="黑体" w:eastAsia="黑体" w:cs="黑体"/>
                <w:color w:val="000000"/>
                <w:kern w:val="0"/>
                <w:sz w:val="21"/>
                <w:szCs w:val="21"/>
              </w:rPr>
              <w:t>好的做法示例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7" w:hRule="atLeast"/>
          <w:jc w:val="center"/>
        </w:trPr>
        <w:tc>
          <w:tcPr>
            <w:tcW w:w="55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w:t>
            </w:r>
          </w:p>
        </w:tc>
        <w:tc>
          <w:tcPr>
            <w:tcW w:w="87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黑色金属冶炼</w:t>
            </w:r>
          </w:p>
        </w:tc>
        <w:tc>
          <w:tcPr>
            <w:tcW w:w="201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堆取料机行走</w:t>
            </w:r>
          </w:p>
        </w:tc>
        <w:tc>
          <w:tcPr>
            <w:tcW w:w="221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1.老式堆取料机行走道轨两端未安装限位，或多次撞击后变形失去防护功能，是造成事故的主要原因。</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2.堆取料机在大车行走至限位位置无法有效停止，道轨附近人员被机具撞击造成挤压伤。</w:t>
            </w:r>
          </w:p>
        </w:tc>
        <w:tc>
          <w:tcPr>
            <w:tcW w:w="224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1.堆取料机和抓斗吊车的走行轨道，两端应设有极限开关和安全装置。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2.两车在同一轨道、同一方向运行时，相距不应小于5m。</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3.加装前后能够观听到的声光报警装置。</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严禁人员在道轨坐、卧、休息。</w:t>
            </w:r>
          </w:p>
        </w:tc>
        <w:tc>
          <w:tcPr>
            <w:tcW w:w="381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drawing>
                <wp:inline distT="0" distB="0" distL="0" distR="0">
                  <wp:extent cx="1819910" cy="1819910"/>
                  <wp:effectExtent l="0" t="0" r="8890" b="8890"/>
                  <wp:docPr id="1"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true"/>
                          </pic:cNvPicPr>
                        </pic:nvPicPr>
                        <pic:blipFill>
                          <a:blip r:embed="rId15">
                            <a:extLst>
                              <a:ext uri="{28A0092B-C50C-407E-A947-70E740481C1C}">
                                <a14:useLocalDpi xmlns:a14="http://schemas.microsoft.com/office/drawing/2010/main" val="false"/>
                              </a:ext>
                            </a:extLst>
                          </a:blip>
                          <a:stretch>
                            <a:fillRect/>
                          </a:stretch>
                        </pic:blipFill>
                        <pic:spPr>
                          <a:xfrm>
                            <a:off x="0" y="0"/>
                            <a:ext cx="1820000" cy="1820000"/>
                          </a:xfrm>
                          <a:prstGeom prst="rect">
                            <a:avLst/>
                          </a:prstGeom>
                        </pic:spPr>
                      </pic:pic>
                    </a:graphicData>
                  </a:graphic>
                </wp:inline>
              </w:drawing>
            </w:r>
          </w:p>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drawing>
                <wp:inline distT="0" distB="0" distL="0" distR="0">
                  <wp:extent cx="1847850" cy="1847850"/>
                  <wp:effectExtent l="0" t="0" r="0" b="0"/>
                  <wp:docPr id="2"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true"/>
                          </pic:cNvPicPr>
                        </pic:nvPicPr>
                        <pic:blipFill>
                          <a:blip r:embed="rId16">
                            <a:extLst>
                              <a:ext uri="{28A0092B-C50C-407E-A947-70E740481C1C}">
                                <a14:useLocalDpi xmlns:a14="http://schemas.microsoft.com/office/drawing/2010/main" val="false"/>
                              </a:ext>
                            </a:extLst>
                          </a:blip>
                          <a:stretch>
                            <a:fillRect/>
                          </a:stretch>
                        </pic:blipFill>
                        <pic:spPr>
                          <a:xfrm>
                            <a:off x="0" y="0"/>
                            <a:ext cx="1847947" cy="1847947"/>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w:t>
            </w:r>
          </w:p>
        </w:tc>
        <w:tc>
          <w:tcPr>
            <w:tcW w:w="87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黑色金属冶炼</w:t>
            </w:r>
          </w:p>
        </w:tc>
        <w:tc>
          <w:tcPr>
            <w:tcW w:w="201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铁（钢）、渣罐车行走</w:t>
            </w:r>
          </w:p>
        </w:tc>
        <w:tc>
          <w:tcPr>
            <w:tcW w:w="221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1.铁罐长期在高负荷、高温环境使用，吊运时主要承压部位耳轴容易出现断裂现象。</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2.铁罐在吊运过程中耳轴断裂会造成罐体掉落，罐中高温熔融金属容易导致平台岗位人员烫伤、砸伤。</w:t>
            </w:r>
          </w:p>
        </w:tc>
        <w:tc>
          <w:tcPr>
            <w:tcW w:w="224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1.铁罐耳轴应锻制而成，其安全系数不应小于8。</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2.耳轴磨损超过原轴直径的10%，即应报废。</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3.加装前后能够观听到的声光报警装置。</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1.每年应对耳轴作一次无损探伤检查，做好记录，并存档。</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2.罐体吊运路径严禁有人。</w:t>
            </w:r>
          </w:p>
        </w:tc>
        <w:tc>
          <w:tcPr>
            <w:tcW w:w="381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drawing>
                <wp:inline distT="0" distB="0" distL="0" distR="0">
                  <wp:extent cx="1873250" cy="1873250"/>
                  <wp:effectExtent l="0" t="0" r="0" b="0"/>
                  <wp:docPr id="4"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true"/>
                          </pic:cNvPicPr>
                        </pic:nvPicPr>
                        <pic:blipFill>
                          <a:blip r:embed="rId17">
                            <a:extLst>
                              <a:ext uri="{28A0092B-C50C-407E-A947-70E740481C1C}">
                                <a14:useLocalDpi xmlns:a14="http://schemas.microsoft.com/office/drawing/2010/main" val="false"/>
                              </a:ext>
                            </a:extLst>
                          </a:blip>
                          <a:stretch>
                            <a:fillRect/>
                          </a:stretch>
                        </pic:blipFill>
                        <pic:spPr>
                          <a:xfrm>
                            <a:off x="0" y="0"/>
                            <a:ext cx="1873346" cy="1873346"/>
                          </a:xfrm>
                          <a:prstGeom prst="rect">
                            <a:avLst/>
                          </a:prstGeom>
                        </pic:spPr>
                      </pic:pic>
                    </a:graphicData>
                  </a:graphic>
                </wp:inline>
              </w:drawing>
            </w:r>
          </w:p>
          <w:p>
            <w:pPr>
              <w:widowControl/>
              <w:jc w:val="center"/>
              <w:rPr>
                <w:rFonts w:hint="eastAsia" w:ascii="仿宋" w:hAnsi="仿宋" w:eastAsia="仿宋" w:cs="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w:t>
            </w:r>
          </w:p>
        </w:tc>
        <w:tc>
          <w:tcPr>
            <w:tcW w:w="87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黑色金属冶炼</w:t>
            </w:r>
          </w:p>
        </w:tc>
        <w:tc>
          <w:tcPr>
            <w:tcW w:w="201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焦炉用机车行走</w:t>
            </w:r>
          </w:p>
        </w:tc>
        <w:tc>
          <w:tcPr>
            <w:tcW w:w="221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1.推焦机、拦焦机、电机车、装煤车等运行通道无防护栏杆。</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2.操作工误入车辆运行区域容易被车辆挤伤。</w:t>
            </w:r>
          </w:p>
        </w:tc>
        <w:tc>
          <w:tcPr>
            <w:tcW w:w="224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1.推焦机、拦焦机、电机车、装煤车等焦炉用车辆运行通道设置护栏。</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2.车辆开车前必须发出音响信号。</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1.行车时严禁上、下车。</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2.行运期间车体宽度范围内禁止站人。</w:t>
            </w:r>
          </w:p>
        </w:tc>
        <w:tc>
          <w:tcPr>
            <w:tcW w:w="381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drawing>
                <wp:inline distT="0" distB="0" distL="0" distR="0">
                  <wp:extent cx="2063750" cy="2096135"/>
                  <wp:effectExtent l="0" t="0" r="0" b="0"/>
                  <wp:docPr id="6"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true"/>
                          </pic:cNvPicPr>
                        </pic:nvPicPr>
                        <pic:blipFill>
                          <a:blip r:embed="rId18">
                            <a:extLst>
                              <a:ext uri="{28A0092B-C50C-407E-A947-70E740481C1C}">
                                <a14:useLocalDpi xmlns:a14="http://schemas.microsoft.com/office/drawing/2010/main" val="false"/>
                              </a:ext>
                            </a:extLst>
                          </a:blip>
                          <a:stretch>
                            <a:fillRect/>
                          </a:stretch>
                        </pic:blipFill>
                        <pic:spPr>
                          <a:xfrm>
                            <a:off x="0" y="0"/>
                            <a:ext cx="2070683" cy="2103207"/>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w:t>
            </w:r>
          </w:p>
        </w:tc>
        <w:tc>
          <w:tcPr>
            <w:tcW w:w="87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黑色金属冶炼</w:t>
            </w:r>
          </w:p>
        </w:tc>
        <w:tc>
          <w:tcPr>
            <w:tcW w:w="201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热锯机作业</w:t>
            </w:r>
          </w:p>
        </w:tc>
        <w:tc>
          <w:tcPr>
            <w:tcW w:w="221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热锯机防护罩不全，或周围无遮挡，人员经过热锯机周围时被飞溅的金属残渣击伤。</w:t>
            </w:r>
          </w:p>
        </w:tc>
        <w:tc>
          <w:tcPr>
            <w:tcW w:w="224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1.热锯机防护罩应齐全完好，设有防止锯屑飞溅的设施。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2.在有人员通行的方向应设防护挡板。</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1.热锯机工作期间严禁人员进入热锯机飞屑可能飞出的范围内。</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2.悬挂安全警示牌</w:t>
            </w:r>
          </w:p>
        </w:tc>
        <w:tc>
          <w:tcPr>
            <w:tcW w:w="381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drawing>
                <wp:inline distT="0" distB="0" distL="0" distR="0">
                  <wp:extent cx="2095500" cy="2095500"/>
                  <wp:effectExtent l="0" t="0" r="0" b="0"/>
                  <wp:docPr id="7"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true"/>
                          </pic:cNvPicPr>
                        </pic:nvPicPr>
                        <pic:blipFill>
                          <a:blip r:embed="rId19">
                            <a:extLst>
                              <a:ext uri="{28A0092B-C50C-407E-A947-70E740481C1C}">
                                <a14:useLocalDpi xmlns:a14="http://schemas.microsoft.com/office/drawing/2010/main" val="false"/>
                              </a:ext>
                            </a:extLst>
                          </a:blip>
                          <a:stretch>
                            <a:fillRect/>
                          </a:stretch>
                        </pic:blipFill>
                        <pic:spPr>
                          <a:xfrm>
                            <a:off x="0" y="0"/>
                            <a:ext cx="2095609" cy="2095609"/>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w:t>
            </w:r>
          </w:p>
        </w:tc>
        <w:tc>
          <w:tcPr>
            <w:tcW w:w="87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黑色金属冶炼</w:t>
            </w:r>
          </w:p>
        </w:tc>
        <w:tc>
          <w:tcPr>
            <w:tcW w:w="201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型材、板材、线材</w:t>
            </w:r>
          </w:p>
        </w:tc>
        <w:tc>
          <w:tcPr>
            <w:tcW w:w="221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轧机轧制时，人工在线检查和调整导卫板、夹料机、摆动式升降台和翻钢机，人员站位不当或工具卡夹容易导致轧机或钢坯挤压伤人。</w:t>
            </w:r>
          </w:p>
        </w:tc>
        <w:tc>
          <w:tcPr>
            <w:tcW w:w="224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1.轧线周围设置护栏，轧机运转时严禁人员进入。</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2.预精轧机、精轧机、定径机、减径机的机架以及高速线材轧机，应设金属防护罩。</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轧机轧制时，不应用人工在线检查和调整导卫板、夹料机、摆动式升降台和翻钢机。</w:t>
            </w:r>
          </w:p>
        </w:tc>
        <w:tc>
          <w:tcPr>
            <w:tcW w:w="381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drawing>
                <wp:inline distT="0" distB="0" distL="0" distR="0">
                  <wp:extent cx="2133600" cy="2133600"/>
                  <wp:effectExtent l="0" t="0" r="0" b="0"/>
                  <wp:docPr id="9"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true"/>
                          </pic:cNvPicPr>
                        </pic:nvPicPr>
                        <pic:blipFill>
                          <a:blip r:embed="rId20">
                            <a:extLst>
                              <a:ext uri="{28A0092B-C50C-407E-A947-70E740481C1C}">
                                <a14:useLocalDpi xmlns:a14="http://schemas.microsoft.com/office/drawing/2010/main" val="false"/>
                              </a:ext>
                            </a:extLst>
                          </a:blip>
                          <a:stretch>
                            <a:fillRect/>
                          </a:stretch>
                        </pic:blipFill>
                        <pic:spPr>
                          <a:xfrm>
                            <a:off x="0" y="0"/>
                            <a:ext cx="2133710" cy="21337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6</w:t>
            </w:r>
          </w:p>
        </w:tc>
        <w:tc>
          <w:tcPr>
            <w:tcW w:w="87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黑色金属冶炼</w:t>
            </w:r>
          </w:p>
        </w:tc>
        <w:tc>
          <w:tcPr>
            <w:tcW w:w="201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角磨机、切割机、电动砂轮机等手持电动工具。</w:t>
            </w:r>
          </w:p>
        </w:tc>
        <w:tc>
          <w:tcPr>
            <w:tcW w:w="221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机器防护罩破损、不全，容易导致砂轮片、磨头等破碎后碎片飞出伤人，人员未佩戴防护眼镜容易导致飞屑飞出击伤眼睛。</w:t>
            </w:r>
          </w:p>
        </w:tc>
        <w:tc>
          <w:tcPr>
            <w:tcW w:w="224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1.机器防护罩齐全完好。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2.使用前检查砂轮片、磨头等完好无裂纹。</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3.使用前进行空转试验，无偏转、跳动或异响时方可进行操作。</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1.配戴防护眼镜。</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2.飞屑飞出方向不得站人。</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3.不得撞击和猛压。</w:t>
            </w:r>
          </w:p>
        </w:tc>
        <w:tc>
          <w:tcPr>
            <w:tcW w:w="381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drawing>
                <wp:inline distT="0" distB="0" distL="0" distR="0">
                  <wp:extent cx="2101850" cy="2101850"/>
                  <wp:effectExtent l="0" t="0" r="0" b="0"/>
                  <wp:docPr id="19"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true"/>
                          </pic:cNvPicPr>
                        </pic:nvPicPr>
                        <pic:blipFill>
                          <a:blip r:embed="rId21">
                            <a:extLst>
                              <a:ext uri="{28A0092B-C50C-407E-A947-70E740481C1C}">
                                <a14:useLocalDpi xmlns:a14="http://schemas.microsoft.com/office/drawing/2010/main" val="false"/>
                              </a:ext>
                            </a:extLst>
                          </a:blip>
                          <a:stretch>
                            <a:fillRect/>
                          </a:stretch>
                        </pic:blipFill>
                        <pic:spPr>
                          <a:xfrm>
                            <a:off x="0" y="0"/>
                            <a:ext cx="2101959" cy="2101959"/>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7</w:t>
            </w:r>
          </w:p>
        </w:tc>
        <w:tc>
          <w:tcPr>
            <w:tcW w:w="87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黑色金属冶炼</w:t>
            </w:r>
          </w:p>
        </w:tc>
        <w:tc>
          <w:tcPr>
            <w:tcW w:w="201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钢丝</w:t>
            </w:r>
          </w:p>
        </w:tc>
        <w:tc>
          <w:tcPr>
            <w:tcW w:w="221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钢丝拉丝生产过程中，盘条从放线架上松开并送入输送或加工设备时，无其他过渡整理盘条的装置，</w:t>
            </w:r>
            <w:r>
              <w:rPr>
                <w:rFonts w:hint="eastAsia" w:ascii="仿宋" w:hAnsi="仿宋" w:eastAsia="仿宋" w:cs="仿宋"/>
                <w:sz w:val="21"/>
                <w:szCs w:val="21"/>
              </w:rPr>
              <w:t>作业人员在整理钢丝缠绕打结时</w:t>
            </w:r>
            <w:r>
              <w:rPr>
                <w:rFonts w:hint="eastAsia" w:ascii="仿宋" w:hAnsi="仿宋" w:eastAsia="仿宋" w:cs="仿宋"/>
                <w:color w:val="000000"/>
                <w:sz w:val="21"/>
                <w:szCs w:val="21"/>
              </w:rPr>
              <w:t>，盘条头部容易翘起造成人员打击伤。</w:t>
            </w:r>
          </w:p>
        </w:tc>
        <w:tc>
          <w:tcPr>
            <w:tcW w:w="224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1.拉丝机应有盘条放线保护装置、乱线和断线自动停车装置、围栏开关、脚踏开关以及保护罩等安全设施。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2.管式捻股机，应有断线自动停车、工字轮锁紧、紧急事故停车和保护罩等安全设施。</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1.设备运转时严禁人员进入钢丝送料区域。</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2.现场设置安全警示标示。</w:t>
            </w:r>
          </w:p>
        </w:tc>
        <w:tc>
          <w:tcPr>
            <w:tcW w:w="381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drawing>
                <wp:inline distT="0" distB="0" distL="0" distR="0">
                  <wp:extent cx="2012950" cy="2012950"/>
                  <wp:effectExtent l="0" t="0" r="6350" b="6350"/>
                  <wp:docPr id="20" name="图片 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true"/>
                          </pic:cNvPicPr>
                        </pic:nvPicPr>
                        <pic:blipFill>
                          <a:blip r:embed="rId22">
                            <a:extLst>
                              <a:ext uri="{28A0092B-C50C-407E-A947-70E740481C1C}">
                                <a14:useLocalDpi xmlns:a14="http://schemas.microsoft.com/office/drawing/2010/main" val="false"/>
                              </a:ext>
                            </a:extLst>
                          </a:blip>
                          <a:stretch>
                            <a:fillRect/>
                          </a:stretch>
                        </pic:blipFill>
                        <pic:spPr>
                          <a:xfrm>
                            <a:off x="0" y="0"/>
                            <a:ext cx="2013053" cy="2013053"/>
                          </a:xfrm>
                          <a:prstGeom prst="rect">
                            <a:avLst/>
                          </a:prstGeom>
                        </pic:spPr>
                      </pic:pic>
                    </a:graphicData>
                  </a:graphic>
                </wp:inline>
              </w:drawing>
            </w:r>
          </w:p>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drawing>
                <wp:inline distT="0" distB="0" distL="0" distR="0">
                  <wp:extent cx="1962150" cy="1962150"/>
                  <wp:effectExtent l="0" t="0" r="0" b="0"/>
                  <wp:docPr id="21" name="图片 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true"/>
                          </pic:cNvPicPr>
                        </pic:nvPicPr>
                        <pic:blipFill>
                          <a:blip r:embed="rId23">
                            <a:extLst>
                              <a:ext uri="{28A0092B-C50C-407E-A947-70E740481C1C}">
                                <a14:useLocalDpi xmlns:a14="http://schemas.microsoft.com/office/drawing/2010/main" val="false"/>
                              </a:ext>
                            </a:extLst>
                          </a:blip>
                          <a:stretch>
                            <a:fillRect/>
                          </a:stretch>
                        </pic:blipFill>
                        <pic:spPr>
                          <a:xfrm>
                            <a:off x="0" y="0"/>
                            <a:ext cx="1962252" cy="1962252"/>
                          </a:xfrm>
                          <a:prstGeom prst="rect">
                            <a:avLst/>
                          </a:prstGeom>
                        </pic:spPr>
                      </pic:pic>
                    </a:graphicData>
                  </a:graphic>
                </wp:inline>
              </w:drawing>
            </w:r>
          </w:p>
        </w:tc>
      </w:tr>
    </w:tbl>
    <w:p>
      <w:pPr>
        <w:rPr>
          <w:rFonts w:ascii="宋体" w:hAnsi="宋体" w:eastAsia="宋体"/>
          <w:sz w:val="28"/>
          <w:szCs w:val="32"/>
        </w:rPr>
      </w:pPr>
    </w:p>
    <w:p>
      <w:pPr>
        <w:rPr>
          <w:rFonts w:ascii="宋体" w:hAnsi="宋体" w:eastAsia="宋体"/>
          <w:sz w:val="28"/>
          <w:szCs w:val="32"/>
        </w:rPr>
      </w:pPr>
    </w:p>
    <w:p>
      <w:pPr>
        <w:rPr>
          <w:rFonts w:hint="eastAsia" w:ascii="宋体" w:hAnsi="宋体" w:eastAsia="宋体"/>
          <w:sz w:val="28"/>
          <w:szCs w:val="32"/>
        </w:rPr>
      </w:pPr>
      <w:r>
        <w:rPr>
          <w:rFonts w:hint="eastAsia" w:ascii="宋体" w:hAnsi="宋体" w:eastAsia="宋体"/>
          <w:sz w:val="28"/>
          <w:szCs w:val="32"/>
        </w:rPr>
        <w:br w:type="page"/>
      </w:r>
    </w:p>
    <w:p>
      <w:pP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3.有色行业典型机械伤害</w:t>
      </w:r>
      <w:r>
        <w:rPr>
          <w:rFonts w:hint="eastAsia" w:ascii="楷体_GB2312" w:hAnsi="楷体_GB2312" w:eastAsia="楷体_GB2312" w:cs="楷体_GB2312"/>
          <w:color w:val="auto"/>
          <w:sz w:val="28"/>
          <w:szCs w:val="32"/>
        </w:rPr>
        <w:t>事故</w:t>
      </w:r>
      <w:r>
        <w:rPr>
          <w:rFonts w:hint="eastAsia" w:ascii="楷体_GB2312" w:hAnsi="楷体_GB2312" w:eastAsia="楷体_GB2312" w:cs="楷体_GB2312"/>
          <w:sz w:val="28"/>
          <w:szCs w:val="32"/>
        </w:rPr>
        <w:t>管控措施</w:t>
      </w:r>
    </w:p>
    <w:tbl>
      <w:tblPr>
        <w:tblStyle w:val="5"/>
        <w:tblW w:w="148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4"/>
        <w:gridCol w:w="52"/>
        <w:gridCol w:w="879"/>
        <w:gridCol w:w="1862"/>
        <w:gridCol w:w="152"/>
        <w:gridCol w:w="1958"/>
        <w:gridCol w:w="202"/>
        <w:gridCol w:w="2051"/>
        <w:gridCol w:w="252"/>
        <w:gridCol w:w="2863"/>
        <w:gridCol w:w="303"/>
        <w:gridCol w:w="3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gridSpan w:val="2"/>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序号</w:t>
            </w:r>
          </w:p>
        </w:tc>
        <w:tc>
          <w:tcPr>
            <w:tcW w:w="879"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中类行业名称</w:t>
            </w:r>
          </w:p>
        </w:tc>
        <w:tc>
          <w:tcPr>
            <w:tcW w:w="2014" w:type="dxa"/>
            <w:gridSpan w:val="2"/>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典型设备设施或作业活动举例</w:t>
            </w:r>
          </w:p>
        </w:tc>
        <w:tc>
          <w:tcPr>
            <w:tcW w:w="2160" w:type="dxa"/>
            <w:gridSpan w:val="2"/>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事故原因</w:t>
            </w:r>
          </w:p>
        </w:tc>
        <w:tc>
          <w:tcPr>
            <w:tcW w:w="2303" w:type="dxa"/>
            <w:gridSpan w:val="2"/>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典型工程技术措施</w:t>
            </w:r>
          </w:p>
        </w:tc>
        <w:tc>
          <w:tcPr>
            <w:tcW w:w="3166" w:type="dxa"/>
            <w:gridSpan w:val="2"/>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典型的管理措施</w:t>
            </w:r>
          </w:p>
        </w:tc>
        <w:tc>
          <w:tcPr>
            <w:tcW w:w="3816"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好的做法示例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w:t>
            </w:r>
          </w:p>
        </w:tc>
        <w:tc>
          <w:tcPr>
            <w:tcW w:w="87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铜冶炼</w:t>
            </w:r>
          </w:p>
        </w:tc>
        <w:tc>
          <w:tcPr>
            <w:tcW w:w="2014"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皮带运输机</w:t>
            </w:r>
          </w:p>
        </w:tc>
        <w:tc>
          <w:tcPr>
            <w:tcW w:w="216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1.皮带运行过程中跨越、穿越皮带上下，在皮带上坐卧，蹬踏或直接、间接接触皮带运转部位等。</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2.皮带的护栏、护罩、护网、拉绳开关、联锁等安全设施缺失或失效。</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3.皮带清理、润滑、检维修时，未做到停机挂牌，开机前未确认周边环境。</w:t>
            </w:r>
          </w:p>
        </w:tc>
        <w:tc>
          <w:tcPr>
            <w:tcW w:w="230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1.皮带运输机的滚筒、托辊、联轴器等各运转部件设置护罩、护网、护栏等安全设施，并定期检查维护，确保其齐全有效。</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2.设置拉绳开关、声光报警等安全设施，并与皮带开机运行进行联锁，定期检查维护，确保齐全有效。</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3.设置“禁止跨越”“当心机械伤害”等安全警示标识。</w:t>
            </w:r>
          </w:p>
        </w:tc>
        <w:tc>
          <w:tcPr>
            <w:tcW w:w="316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1.编制安全操作规程，培训到位，落实到位。</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2.严禁直接或间接接触皮带运转部位。</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3.清理、点检、维修、润滑时必须先停机、挂牌、打切。</w:t>
            </w:r>
          </w:p>
        </w:tc>
        <w:tc>
          <w:tcPr>
            <w:tcW w:w="3816"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2028190" cy="1788795"/>
                  <wp:effectExtent l="0" t="0" r="3810" b="1905"/>
                  <wp:docPr id="30" name="图片 30" descr="C:\Users\jian1.liu\AppData\Roaming\DingTalk\312953821_v2\resource_cache\24\24e337bad0f8e0cd00992b23080b7484.pn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30" descr="C:\Users\jian1.liu\AppData\Roaming\DingTalk\312953821_v2\resource_cache\24\24e337bad0f8e0cd00992b23080b7484.png"/>
                          <pic:cNvPicPr>
                            <a:picLocks noChangeAspect="true" noChangeArrowheads="true"/>
                          </pic:cNvPicPr>
                        </pic:nvPicPr>
                        <pic:blipFill>
                          <a:blip r:embed="rId24"/>
                          <a:srcRect/>
                          <a:stretch>
                            <a:fillRect/>
                          </a:stretch>
                        </pic:blipFill>
                        <pic:spPr>
                          <a:xfrm>
                            <a:off x="0" y="0"/>
                            <a:ext cx="2049093" cy="1807564"/>
                          </a:xfrm>
                          <a:prstGeom prst="rect">
                            <a:avLst/>
                          </a:prstGeom>
                          <a:noFill/>
                          <a:ln>
                            <a:noFill/>
                          </a:ln>
                        </pic:spPr>
                      </pic:pic>
                    </a:graphicData>
                  </a:graphic>
                </wp:inline>
              </w:drawing>
            </w:r>
          </w:p>
          <w:p>
            <w:pPr>
              <w:widowControl/>
              <w:jc w:val="left"/>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拉绳开关安装于皮带输送机两侧，用钢丝绳沿着输送机两侧把开关连接起来。当输送带设备发生紧急事故时，在现场沿线任意处拉动钢丝绳，切断控制线路，使得输送机停止运行。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w:t>
            </w:r>
          </w:p>
        </w:tc>
        <w:tc>
          <w:tcPr>
            <w:tcW w:w="87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铜冶炼</w:t>
            </w:r>
          </w:p>
        </w:tc>
        <w:tc>
          <w:tcPr>
            <w:tcW w:w="2014"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精矿、冰铜、烟灰失重螺旋</w:t>
            </w:r>
          </w:p>
        </w:tc>
        <w:tc>
          <w:tcPr>
            <w:tcW w:w="216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1.螺旋在运转过程中随意打开上方人孔门检查内部带料情况，负压控制不当，造成物料喷出伤人。</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2.螺旋内部堵料，在未停机的情况下用工器具进行疏通。</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3.检维修时，未做到停机挂牌，开机前未确认周边环境。</w:t>
            </w:r>
          </w:p>
        </w:tc>
        <w:tc>
          <w:tcPr>
            <w:tcW w:w="230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1.联轴器配置防护罩，设置点检孔。</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2.设置急停按钮。</w:t>
            </w:r>
          </w:p>
        </w:tc>
        <w:tc>
          <w:tcPr>
            <w:tcW w:w="316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1.编制安全操作规程，培训到位，落实到位。</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2.严禁直接或间接接触运转部位。</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3.清理、点检、维修、润滑时必须要停机、挂牌、打切。</w:t>
            </w:r>
          </w:p>
        </w:tc>
        <w:tc>
          <w:tcPr>
            <w:tcW w:w="3816"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2008505" cy="1516380"/>
                  <wp:effectExtent l="0" t="0" r="0" b="7620"/>
                  <wp:docPr id="31" name="图片 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true"/>
                          </pic:cNvPicPr>
                        </pic:nvPicPr>
                        <pic:blipFill>
                          <a:blip r:embed="rId25"/>
                          <a:stretch>
                            <a:fillRect/>
                          </a:stretch>
                        </pic:blipFill>
                        <pic:spPr>
                          <a:xfrm>
                            <a:off x="0" y="0"/>
                            <a:ext cx="2014359" cy="1520834"/>
                          </a:xfrm>
                          <a:prstGeom prst="rect">
                            <a:avLst/>
                          </a:prstGeom>
                        </pic:spPr>
                      </pic:pic>
                    </a:graphicData>
                  </a:graphic>
                </wp:inline>
              </w:drawing>
            </w:r>
            <w:r>
              <w:rPr>
                <w:rFonts w:hint="eastAsia" w:ascii="仿宋" w:hAnsi="仿宋" w:eastAsia="仿宋" w:cs="仿宋"/>
                <w:color w:val="auto"/>
                <w:sz w:val="21"/>
                <w:szCs w:val="21"/>
              </w:rPr>
              <w:drawing>
                <wp:inline distT="0" distB="0" distL="0" distR="0">
                  <wp:extent cx="1838325" cy="1742440"/>
                  <wp:effectExtent l="0" t="0" r="3175" b="10160"/>
                  <wp:docPr id="32" name="图片 32" descr="C:\Users\jian1.liu\AppData\Local\Microsoft\Windows\INetCache\Content.Word\急停按钮.pn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32" descr="C:\Users\jian1.liu\AppData\Local\Microsoft\Windows\INetCache\Content.Word\急停按钮.png"/>
                          <pic:cNvPicPr>
                            <a:picLocks noChangeAspect="true" noChangeArrowheads="true"/>
                          </pic:cNvPicPr>
                        </pic:nvPicPr>
                        <pic:blipFill>
                          <a:blip r:embed="rId26"/>
                          <a:srcRect/>
                          <a:stretch>
                            <a:fillRect/>
                          </a:stretch>
                        </pic:blipFill>
                        <pic:spPr>
                          <a:xfrm>
                            <a:off x="0" y="0"/>
                            <a:ext cx="1838325" cy="1742440"/>
                          </a:xfrm>
                          <a:prstGeom prst="rect">
                            <a:avLst/>
                          </a:prstGeom>
                          <a:noFill/>
                          <a:ln>
                            <a:noFill/>
                          </a:ln>
                        </pic:spPr>
                      </pic:pic>
                    </a:graphicData>
                  </a:graphic>
                </wp:inline>
              </w:drawing>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当发生紧急情况时，通过快速按下急停按钮让设备停止运行。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w:t>
            </w:r>
          </w:p>
        </w:tc>
        <w:tc>
          <w:tcPr>
            <w:tcW w:w="87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铜冶炼</w:t>
            </w:r>
          </w:p>
        </w:tc>
        <w:tc>
          <w:tcPr>
            <w:tcW w:w="2014"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冰铜、烟灰、吹炼渣刮板</w:t>
            </w:r>
          </w:p>
        </w:tc>
        <w:tc>
          <w:tcPr>
            <w:tcW w:w="216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1.检修、清理时未停机、未挂牌、未打切。</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2.维修清理后安全设施未及时恢复。</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3.在运行中打开护板。</w:t>
            </w:r>
          </w:p>
        </w:tc>
        <w:tc>
          <w:tcPr>
            <w:tcW w:w="230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1.刮板机联轴器、驱动链条等各运转部位设置防护罩，并确保其齐全有效。</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2.设置急停按钮，并确保其齐全有效。</w:t>
            </w:r>
          </w:p>
        </w:tc>
        <w:tc>
          <w:tcPr>
            <w:tcW w:w="316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1.编制安全操作规程，培训到位，落实到位。</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2.严禁直接或间接接触运转部位。</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3.清理、点检、维修、润滑时必须要停机、挂牌、打切。</w:t>
            </w:r>
          </w:p>
        </w:tc>
        <w:tc>
          <w:tcPr>
            <w:tcW w:w="3816"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mc:AlternateContent>
                <mc:Choice Requires="wps">
                  <w:drawing>
                    <wp:anchor distT="0" distB="0" distL="114300" distR="114300" simplePos="0" relativeHeight="251660288" behindDoc="0" locked="0" layoutInCell="1" allowOverlap="1">
                      <wp:simplePos x="0" y="0"/>
                      <wp:positionH relativeFrom="column">
                        <wp:posOffset>553085</wp:posOffset>
                      </wp:positionH>
                      <wp:positionV relativeFrom="paragraph">
                        <wp:posOffset>322580</wp:posOffset>
                      </wp:positionV>
                      <wp:extent cx="876300" cy="1244600"/>
                      <wp:effectExtent l="28575" t="28575" r="34925" b="34925"/>
                      <wp:wrapNone/>
                      <wp:docPr id="37" name="椭圆 37"/>
                      <wp:cNvGraphicFramePr/>
                      <a:graphic xmlns:a="http://schemas.openxmlformats.org/drawingml/2006/main">
                        <a:graphicData uri="http://schemas.microsoft.com/office/word/2010/wordprocessingShape">
                          <wps:wsp>
                            <wps:cNvSpPr/>
                            <wps:spPr>
                              <a:xfrm>
                                <a:off x="8273415" y="3429000"/>
                                <a:ext cx="876300" cy="1244600"/>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43.55pt;margin-top:25.4pt;height:98pt;width:69pt;z-index:251660288;v-text-anchor:middle;mso-width-relative:page;mso-height-relative:page;" filled="f" stroked="t" coordsize="21600,21600" o:gfxdata="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FgAAAGRycy9QSwECFAAUAAAACACHTuJA8q1fC9YAAAAJAQAADwAAAAAAAAABACAAAAA4AAAA&#10;ZHJzL2Rvd25yZXYueG1sUEsBAhQAFAAAAAgAh07iQBD8fsllAgAAnQQAAA4AAAAAAAAAAQAgAAAA&#10;OwEAAGRycy9lMm9Eb2MueG1sUEsFBgAAAAAGAAYAWQEAABIGAAAAAA==&#10;">
                      <v:fill on="f" focussize="0,0"/>
                      <v:stroke weight="4.5pt" color="#FF0000 [3204]" miterlimit="8" joinstyle="miter"/>
                      <v:imagedata o:title=""/>
                      <o:lock v:ext="edit" aspectratio="f"/>
                    </v:shape>
                  </w:pict>
                </mc:Fallback>
              </mc:AlternateContent>
            </w:r>
            <w:r>
              <w:rPr>
                <w:rFonts w:hint="eastAsia" w:ascii="仿宋" w:hAnsi="仿宋" w:eastAsia="仿宋" w:cs="仿宋"/>
                <w:color w:val="auto"/>
                <w:sz w:val="21"/>
                <w:szCs w:val="21"/>
              </w:rPr>
              <w:drawing>
                <wp:inline distT="0" distB="0" distL="0" distR="0">
                  <wp:extent cx="2106930" cy="1578610"/>
                  <wp:effectExtent l="0" t="0" r="1270" b="8890"/>
                  <wp:docPr id="36" name="图片 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true"/>
                          </pic:cNvPicPr>
                        </pic:nvPicPr>
                        <pic:blipFill>
                          <a:blip r:embed="rId27"/>
                          <a:stretch>
                            <a:fillRect/>
                          </a:stretch>
                        </pic:blipFill>
                        <pic:spPr>
                          <a:xfrm>
                            <a:off x="0" y="0"/>
                            <a:ext cx="2135585" cy="1600276"/>
                          </a:xfrm>
                          <a:prstGeom prst="rect">
                            <a:avLst/>
                          </a:prstGeom>
                        </pic:spPr>
                      </pic:pic>
                    </a:graphicData>
                  </a:graphic>
                </wp:inline>
              </w:drawing>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运转部位设置防护罩</w:t>
            </w:r>
          </w:p>
          <w:p>
            <w:pPr>
              <w:widowControl/>
              <w:jc w:val="center"/>
              <w:rPr>
                <w:rFonts w:hint="eastAsia" w:ascii="仿宋" w:hAnsi="仿宋" w:eastAsia="仿宋" w:cs="仿宋"/>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w:t>
            </w:r>
          </w:p>
        </w:tc>
        <w:tc>
          <w:tcPr>
            <w:tcW w:w="87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铜冶炼</w:t>
            </w:r>
          </w:p>
        </w:tc>
        <w:tc>
          <w:tcPr>
            <w:tcW w:w="2014"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电解阴极剥片机组</w:t>
            </w:r>
          </w:p>
        </w:tc>
        <w:tc>
          <w:tcPr>
            <w:tcW w:w="216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1.限位、联锁故障，违规进入机组区域。</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2.剥片站维修或对剥片站进行润滑、清理作业，未关闭剥片站液压阀、气源阀造成剥片站翻转器动作。</w:t>
            </w:r>
          </w:p>
        </w:tc>
        <w:tc>
          <w:tcPr>
            <w:tcW w:w="230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1.护栏门应设置连锁开关。</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2.现场平台设置护栏，运转设施部位设置防护罩。</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3.设置停电联锁、急停联锁、禁止作业动作联锁。</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4.设置防落架。</w:t>
            </w:r>
          </w:p>
        </w:tc>
        <w:tc>
          <w:tcPr>
            <w:tcW w:w="316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1.对联锁开展进行定期检查。</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2.对员工开展安全告知，维修剥片站或对剥片站进行润滑、清理作业必须正确使用防落架。</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3.检维修是必须停机、挂牌、打切。</w:t>
            </w:r>
          </w:p>
        </w:tc>
        <w:tc>
          <w:tcPr>
            <w:tcW w:w="3816"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2124075" cy="1443355"/>
                  <wp:effectExtent l="0" t="0" r="9525" b="4445"/>
                  <wp:docPr id="38" name="图片 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true"/>
                          </pic:cNvPicPr>
                        </pic:nvPicPr>
                        <pic:blipFill>
                          <a:blip r:embed="rId28"/>
                          <a:stretch>
                            <a:fillRect/>
                          </a:stretch>
                        </pic:blipFill>
                        <pic:spPr>
                          <a:xfrm>
                            <a:off x="0" y="0"/>
                            <a:ext cx="2207994" cy="1500372"/>
                          </a:xfrm>
                          <a:prstGeom prst="rect">
                            <a:avLst/>
                          </a:prstGeom>
                        </pic:spPr>
                      </pic:pic>
                    </a:graphicData>
                  </a:graphic>
                </wp:inline>
              </w:drawing>
            </w:r>
            <w:r>
              <w:rPr>
                <w:rFonts w:hint="eastAsia" w:ascii="仿宋" w:hAnsi="仿宋" w:eastAsia="仿宋" w:cs="仿宋"/>
                <w:color w:val="auto"/>
                <w:sz w:val="21"/>
                <w:szCs w:val="21"/>
              </w:rPr>
              <w:drawing>
                <wp:inline distT="0" distB="0" distL="0" distR="0">
                  <wp:extent cx="2023110" cy="1685925"/>
                  <wp:effectExtent l="0" t="0" r="8890" b="3175"/>
                  <wp:docPr id="39" name="图片 39" descr="C:\Users\jian1.liu\AppData\Local\Microsoft\Windows\INetCache\Content.Word\机组限位与急停.pn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 name="图片 39" descr="C:\Users\jian1.liu\AppData\Local\Microsoft\Windows\INetCache\Content.Word\机组限位与急停.png"/>
                          <pic:cNvPicPr>
                            <a:picLocks noChangeAspect="true" noChangeArrowheads="true"/>
                          </pic:cNvPicPr>
                        </pic:nvPicPr>
                        <pic:blipFill>
                          <a:blip r:embed="rId29"/>
                          <a:srcRect/>
                          <a:stretch>
                            <a:fillRect/>
                          </a:stretch>
                        </pic:blipFill>
                        <pic:spPr>
                          <a:xfrm>
                            <a:off x="0" y="0"/>
                            <a:ext cx="2023422" cy="1686185"/>
                          </a:xfrm>
                          <a:prstGeom prst="rect">
                            <a:avLst/>
                          </a:prstGeom>
                          <a:noFill/>
                          <a:ln>
                            <a:noFill/>
                          </a:ln>
                        </pic:spPr>
                      </pic:pic>
                    </a:graphicData>
                  </a:graphic>
                </wp:inline>
              </w:drawing>
            </w:r>
          </w:p>
          <w:p>
            <w:pPr>
              <w:widowControl/>
              <w:jc w:val="center"/>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当护栏门的限位开关打开时，机组停止运行；当发生紧急情况时，通过快速按下急停按钮让设备停止转动。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5</w:t>
            </w:r>
          </w:p>
        </w:tc>
        <w:tc>
          <w:tcPr>
            <w:tcW w:w="87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铜冶炼</w:t>
            </w:r>
          </w:p>
        </w:tc>
        <w:tc>
          <w:tcPr>
            <w:tcW w:w="2014"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阴极铜打包机</w:t>
            </w:r>
          </w:p>
        </w:tc>
        <w:tc>
          <w:tcPr>
            <w:tcW w:w="216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打包机维修或对打包机进行润滑、清理作业，未关闭打包机液压阀、气源阀，造成打包机头掉落或动作。</w:t>
            </w:r>
          </w:p>
        </w:tc>
        <w:tc>
          <w:tcPr>
            <w:tcW w:w="230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1.设置安全销。</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2.打包机头与支架之间设置安全绳。</w:t>
            </w:r>
          </w:p>
        </w:tc>
        <w:tc>
          <w:tcPr>
            <w:tcW w:w="316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1.对员工开展安全告知，维修打包机故障或对打包机进行润滑、清理作业必须由外向里将安全销插好。</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2.定期对打包机头与支架之间安全绳进行检查。</w:t>
            </w:r>
          </w:p>
        </w:tc>
        <w:tc>
          <w:tcPr>
            <w:tcW w:w="3816"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2117725" cy="1562100"/>
                  <wp:effectExtent l="0" t="0" r="3175" b="0"/>
                  <wp:docPr id="41" name="图片 4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true"/>
                          </pic:cNvPicPr>
                        </pic:nvPicPr>
                        <pic:blipFill>
                          <a:blip r:embed="rId30"/>
                          <a:stretch>
                            <a:fillRect/>
                          </a:stretch>
                        </pic:blipFill>
                        <pic:spPr>
                          <a:xfrm>
                            <a:off x="0" y="0"/>
                            <a:ext cx="2131097" cy="1571767"/>
                          </a:xfrm>
                          <a:prstGeom prst="rect">
                            <a:avLst/>
                          </a:prstGeom>
                        </pic:spPr>
                      </pic:pic>
                    </a:graphicData>
                  </a:graphic>
                </wp:inline>
              </w:drawing>
            </w:r>
            <w:r>
              <w:rPr>
                <w:rFonts w:hint="eastAsia" w:ascii="仿宋" w:hAnsi="仿宋" w:eastAsia="仿宋" w:cs="仿宋"/>
                <w:color w:val="auto"/>
                <w:sz w:val="21"/>
                <w:szCs w:val="21"/>
              </w:rPr>
              <w:drawing>
                <wp:inline distT="0" distB="0" distL="0" distR="0">
                  <wp:extent cx="2079625" cy="1452245"/>
                  <wp:effectExtent l="0" t="0" r="3175" b="8255"/>
                  <wp:docPr id="42" name="图片 42" descr="C:\Users\jian1.liu\AppData\Local\Microsoft\Windows\INetCache\Content.Word\安全销.pn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 name="图片 42" descr="C:\Users\jian1.liu\AppData\Local\Microsoft\Windows\INetCache\Content.Word\安全销.png"/>
                          <pic:cNvPicPr>
                            <a:picLocks noChangeAspect="true" noChangeArrowheads="true"/>
                          </pic:cNvPicPr>
                        </pic:nvPicPr>
                        <pic:blipFill>
                          <a:blip r:embed="rId31"/>
                          <a:srcRect/>
                          <a:stretch>
                            <a:fillRect/>
                          </a:stretch>
                        </pic:blipFill>
                        <pic:spPr>
                          <a:xfrm>
                            <a:off x="0" y="0"/>
                            <a:ext cx="2089410" cy="1459271"/>
                          </a:xfrm>
                          <a:prstGeom prst="rect">
                            <a:avLst/>
                          </a:prstGeom>
                          <a:noFill/>
                          <a:ln>
                            <a:noFill/>
                          </a:ln>
                        </pic:spPr>
                      </pic:pic>
                    </a:graphicData>
                  </a:graphic>
                </wp:inline>
              </w:drawing>
            </w:r>
          </w:p>
          <w:p>
            <w:pPr>
              <w:widowControl/>
              <w:jc w:val="left"/>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检维修时，将安全销放置到插孔里，防止机头意外滑落伤人。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6</w:t>
            </w:r>
          </w:p>
        </w:tc>
        <w:tc>
          <w:tcPr>
            <w:tcW w:w="87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铜冶炼</w:t>
            </w:r>
          </w:p>
        </w:tc>
        <w:tc>
          <w:tcPr>
            <w:tcW w:w="2014"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蒸汽干燥机</w:t>
            </w:r>
          </w:p>
        </w:tc>
        <w:tc>
          <w:tcPr>
            <w:tcW w:w="216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1.护栏破损，巡检人员靠近旋转部位。</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2.检维修时，未执行停电挂牌制度。</w:t>
            </w:r>
          </w:p>
        </w:tc>
        <w:tc>
          <w:tcPr>
            <w:tcW w:w="230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设置护栏，并确保完好。</w:t>
            </w:r>
          </w:p>
        </w:tc>
        <w:tc>
          <w:tcPr>
            <w:tcW w:w="316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1.定期开展安全检查。</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2.检维修时，制定并落实检维修方案，严格执行停电挂牌制度。</w:t>
            </w:r>
          </w:p>
        </w:tc>
        <w:tc>
          <w:tcPr>
            <w:tcW w:w="3816"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1947545" cy="1468120"/>
                  <wp:effectExtent l="0" t="0" r="8255" b="5080"/>
                  <wp:docPr id="43" name="图片 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true"/>
                          </pic:cNvPicPr>
                        </pic:nvPicPr>
                        <pic:blipFill>
                          <a:blip r:embed="rId32"/>
                          <a:stretch>
                            <a:fillRect/>
                          </a:stretch>
                        </pic:blipFill>
                        <pic:spPr>
                          <a:xfrm>
                            <a:off x="0" y="0"/>
                            <a:ext cx="1957998" cy="1476160"/>
                          </a:xfrm>
                          <a:prstGeom prst="rect">
                            <a:avLst/>
                          </a:prstGeom>
                        </pic:spPr>
                      </pic:pic>
                    </a:graphicData>
                  </a:graphic>
                </wp:inline>
              </w:drawing>
            </w:r>
          </w:p>
          <w:p>
            <w:pPr>
              <w:widowControl/>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护栏设置示意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7</w:t>
            </w:r>
          </w:p>
        </w:tc>
        <w:tc>
          <w:tcPr>
            <w:tcW w:w="87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氧化铝</w:t>
            </w:r>
          </w:p>
        </w:tc>
        <w:tc>
          <w:tcPr>
            <w:tcW w:w="2014"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立盘、平盘过滤机、压滤机操作及更换滤布作业</w:t>
            </w:r>
          </w:p>
        </w:tc>
        <w:tc>
          <w:tcPr>
            <w:tcW w:w="216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1.更换滤布时，人员未撤离，现场转动立盘。</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2.人员翻越护栏，进入运行中盘面间进行清理工作。</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3.检修前未断电，人员误操作。</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4.未按程序试车，安全装置未恢复。</w:t>
            </w:r>
          </w:p>
        </w:tc>
        <w:tc>
          <w:tcPr>
            <w:tcW w:w="230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1.停止设备运行切断电源并挂好警示牌；将现场控制箱转换开关打到停止位置；工作前对安全措施进行确认，安全措施不全禁止进行检修作业。</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2.立盘、平盘操作平台处加装护栏，加装警示标语。</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3.设置防转动装置，停车换布时使用。</w:t>
            </w:r>
          </w:p>
        </w:tc>
        <w:tc>
          <w:tcPr>
            <w:tcW w:w="316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1.定期对操作步骤及更换滤布作业过程进行跟踪监护。</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2.清理积料、结疤时必须停车处理，现场管理干部做好监护工作。</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3.设备需要转动时，执行押票试运，人员撤离至安全区域后，可转动立盘。</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4.设备检修完后应先进行单项试车，试车时操作工应在现场；检修完设备后，拆卸的安全防护装置必须复位且牢固可靠。</w:t>
            </w:r>
          </w:p>
        </w:tc>
        <w:tc>
          <w:tcPr>
            <w:tcW w:w="3816"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mc:AlternateContent>
                <mc:Choice Requires="wps">
                  <w:drawing>
                    <wp:anchor distT="0" distB="0" distL="114300" distR="114300" simplePos="0" relativeHeight="251661312" behindDoc="0" locked="0" layoutInCell="1" allowOverlap="1">
                      <wp:simplePos x="0" y="0"/>
                      <wp:positionH relativeFrom="column">
                        <wp:posOffset>929005</wp:posOffset>
                      </wp:positionH>
                      <wp:positionV relativeFrom="paragraph">
                        <wp:posOffset>1007745</wp:posOffset>
                      </wp:positionV>
                      <wp:extent cx="890270" cy="770890"/>
                      <wp:effectExtent l="6350" t="6350" r="17780" b="111760"/>
                      <wp:wrapNone/>
                      <wp:docPr id="46" name="圆角矩形标注 46"/>
                      <wp:cNvGraphicFramePr/>
                      <a:graphic xmlns:a="http://schemas.openxmlformats.org/drawingml/2006/main">
                        <a:graphicData uri="http://schemas.microsoft.com/office/word/2010/wordprocessingShape">
                          <wps:wsp>
                            <wps:cNvSpPr/>
                            <wps:spPr>
                              <a:xfrm>
                                <a:off x="0" y="0"/>
                                <a:ext cx="890270" cy="770890"/>
                              </a:xfrm>
                              <a:prstGeom prst="wedgeRoundRectCallou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宋体" w:hAnsi="宋体" w:eastAsia="宋体"/>
                                      <w:color w:val="FFFF00"/>
                                      <w:sz w:val="24"/>
                                      <w:szCs w:val="24"/>
                                    </w:rPr>
                                  </w:pPr>
                                  <w:r>
                                    <w:rPr>
                                      <w:rFonts w:hint="eastAsia" w:ascii="宋体" w:hAnsi="宋体" w:eastAsia="宋体"/>
                                      <w:color w:val="FFFF00"/>
                                      <w:sz w:val="24"/>
                                      <w:szCs w:val="24"/>
                                    </w:rPr>
                                    <w:t>立盘防转动装置</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2" type="#_x0000_t62" style="position:absolute;left:0pt;margin-left:73.15pt;margin-top:79.35pt;height:60.7pt;width:70.1pt;z-index:251661312;v-text-anchor:middle;mso-width-relative:page;mso-height-relative:page;" filled="f" stroked="t" coordsize="21600,21600" o:gfxdata="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WAAAAZHJzL1BLAQIU&#10;ABQAAAAIAIdO4kA1SAs82QAAAAsBAAAPAAAAAAAAAAEAIAAAADgAAABkcnMvZG93bnJldi54bWxQ&#10;SwECFAAUAAAACACHTuJArQxmn4sCAADWBAAADgAAAAAAAAABACAAAAA+AQAAZHJzL2Uyb0RvYy54&#10;bWxQSwUGAAAAAAYABgBZAQAAOwYAAAAA&#10;" adj="6300,24300,14400">
                      <v:fill on="f" focussize="0,0"/>
                      <v:stroke weight="1pt" color="#2F528F [3204]" miterlimit="8" joinstyle="miter"/>
                      <v:imagedata o:title=""/>
                      <o:lock v:ext="edit" aspectratio="f"/>
                      <v:textbox>
                        <w:txbxContent>
                          <w:p>
                            <w:pPr>
                              <w:jc w:val="center"/>
                              <w:rPr>
                                <w:rFonts w:ascii="宋体" w:hAnsi="宋体" w:eastAsia="宋体"/>
                                <w:color w:val="FFFF00"/>
                                <w:sz w:val="24"/>
                                <w:szCs w:val="24"/>
                              </w:rPr>
                            </w:pPr>
                            <w:r>
                              <w:rPr>
                                <w:rFonts w:hint="eastAsia" w:ascii="宋体" w:hAnsi="宋体" w:eastAsia="宋体"/>
                                <w:color w:val="FFFF00"/>
                                <w:sz w:val="24"/>
                                <w:szCs w:val="24"/>
                              </w:rPr>
                              <w:t>立盘防转动装置</w:t>
                            </w:r>
                          </w:p>
                        </w:txbxContent>
                      </v:textbox>
                    </v:shape>
                  </w:pict>
                </mc:Fallback>
              </mc:AlternateContent>
            </w:r>
            <w:r>
              <w:rPr>
                <w:rFonts w:hint="eastAsia" w:ascii="仿宋" w:hAnsi="仿宋" w:eastAsia="仿宋" w:cs="仿宋"/>
                <w:color w:val="auto"/>
                <w:sz w:val="21"/>
                <w:szCs w:val="21"/>
              </w:rPr>
              <w:drawing>
                <wp:inline distT="0" distB="0" distL="0" distR="0">
                  <wp:extent cx="2405380" cy="2273935"/>
                  <wp:effectExtent l="0" t="0" r="7620" b="12065"/>
                  <wp:docPr id="47" name="图片 3"/>
                  <wp:cNvGraphicFramePr/>
                  <a:graphic xmlns:a="http://schemas.openxmlformats.org/drawingml/2006/main">
                    <a:graphicData uri="http://schemas.openxmlformats.org/drawingml/2006/picture">
                      <pic:pic xmlns:pic="http://schemas.openxmlformats.org/drawingml/2006/picture">
                        <pic:nvPicPr>
                          <pic:cNvPr id="47" name="图片 3"/>
                          <pic:cNvPicPr/>
                        </pic:nvPicPr>
                        <pic:blipFill>
                          <a:blip r:embed="rId33"/>
                          <a:stretch>
                            <a:fillRect/>
                          </a:stretch>
                        </pic:blipFill>
                        <pic:spPr>
                          <a:xfrm>
                            <a:off x="0" y="0"/>
                            <a:ext cx="2418606" cy="2286053"/>
                          </a:xfrm>
                          <a:prstGeom prst="rect">
                            <a:avLst/>
                          </a:prstGeom>
                        </pic:spPr>
                      </pic:pic>
                    </a:graphicData>
                  </a:graphic>
                </wp:inline>
              </w:drawing>
            </w:r>
          </w:p>
          <w:p>
            <w:pPr>
              <w:widowControl/>
              <w:jc w:val="center"/>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加装立盘防转动装置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gridSpan w:val="2"/>
            <w:shd w:val="clear" w:color="auto" w:fill="auto"/>
            <w:vAlign w:val="center"/>
          </w:tcPr>
          <w:p>
            <w:pPr>
              <w:widowControl/>
              <w:jc w:val="left"/>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8</w:t>
            </w:r>
          </w:p>
        </w:tc>
        <w:tc>
          <w:tcPr>
            <w:tcW w:w="879" w:type="dxa"/>
            <w:shd w:val="clear" w:color="auto" w:fill="auto"/>
            <w:vAlign w:val="center"/>
          </w:tcPr>
          <w:p>
            <w:pPr>
              <w:widowControl/>
              <w:jc w:val="left"/>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氧化铝</w:t>
            </w:r>
          </w:p>
        </w:tc>
        <w:tc>
          <w:tcPr>
            <w:tcW w:w="2014" w:type="dxa"/>
            <w:gridSpan w:val="2"/>
            <w:shd w:val="clear" w:color="auto" w:fill="auto"/>
            <w:vAlign w:val="center"/>
          </w:tcPr>
          <w:p>
            <w:pPr>
              <w:widowControl/>
              <w:jc w:val="left"/>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板式给料机作业</w:t>
            </w:r>
          </w:p>
        </w:tc>
        <w:tc>
          <w:tcPr>
            <w:tcW w:w="216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1.急停开关、紧急拉绳等安全装置缺失、损坏或失效。</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2.启动前未响铃，未检查确认，人员未及时撤离。</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3.倚靠输送机联轴器、主、被动轮等转动部位。</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4.检修时设备未断电。</w:t>
            </w:r>
          </w:p>
          <w:p>
            <w:pPr>
              <w:widowControl/>
              <w:jc w:val="left"/>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5.清理皮带积料人员违章站在皮带上清理。</w:t>
            </w:r>
          </w:p>
        </w:tc>
        <w:tc>
          <w:tcPr>
            <w:tcW w:w="230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1.增设系统运行连锁、急停开关、预警电铃。</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2、电机、减速机联轴器等部位加装防护罩。</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3.加装皮带逆止器、防倒转装置。</w:t>
            </w:r>
          </w:p>
          <w:p>
            <w:pPr>
              <w:widowControl/>
              <w:jc w:val="left"/>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4.头部设置遇物料阻塞能随时自动停车的装置，首轮上缘、尾轮及拉紧装置设防护装置。</w:t>
            </w:r>
          </w:p>
        </w:tc>
        <w:tc>
          <w:tcPr>
            <w:tcW w:w="316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1.启动前必须进行响铃（每次响铃10秒钟）3次，每次间隔不低于5秒。</w:t>
            </w:r>
          </w:p>
          <w:p>
            <w:pPr>
              <w:widowControl/>
              <w:jc w:val="left"/>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2.作业人员全部撤离工作现场后，方可进行设备试运工作；设备检修完后先进行单项试车，试车时操作工应在现场。</w:t>
            </w:r>
          </w:p>
        </w:tc>
        <w:tc>
          <w:tcPr>
            <w:tcW w:w="3816"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2432685" cy="2288540"/>
                  <wp:effectExtent l="0" t="0" r="5715" b="10160"/>
                  <wp:docPr id="48" name="图片 3"/>
                  <wp:cNvGraphicFramePr/>
                  <a:graphic xmlns:a="http://schemas.openxmlformats.org/drawingml/2006/main">
                    <a:graphicData uri="http://schemas.openxmlformats.org/drawingml/2006/picture">
                      <pic:pic xmlns:pic="http://schemas.openxmlformats.org/drawingml/2006/picture">
                        <pic:nvPicPr>
                          <pic:cNvPr id="48" name="图片 3"/>
                          <pic:cNvPicPr/>
                        </pic:nvPicPr>
                        <pic:blipFill>
                          <a:blip r:embed="rId34"/>
                          <a:stretch>
                            <a:fillRect/>
                          </a:stretch>
                        </pic:blipFill>
                        <pic:spPr>
                          <a:xfrm>
                            <a:off x="0" y="0"/>
                            <a:ext cx="2429880" cy="2286053"/>
                          </a:xfrm>
                          <a:prstGeom prst="rect">
                            <a:avLst/>
                          </a:prstGeom>
                        </pic:spPr>
                      </pic:pic>
                    </a:graphicData>
                  </a:graphic>
                </wp:inline>
              </w:drawing>
            </w:r>
          </w:p>
          <w:p>
            <w:pPr>
              <w:widowControl/>
              <w:jc w:val="center"/>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皮带</w:t>
            </w:r>
            <w:r>
              <w:rPr>
                <w:rFonts w:hint="eastAsia" w:ascii="仿宋" w:hAnsi="仿宋" w:eastAsia="仿宋" w:cs="仿宋"/>
                <w:color w:val="auto"/>
                <w:sz w:val="21"/>
                <w:szCs w:val="21"/>
                <w:lang w:val="en-US" w:eastAsia="zh-CN"/>
              </w:rPr>
              <w:t>加</w:t>
            </w:r>
            <w:r>
              <w:rPr>
                <w:rFonts w:hint="eastAsia" w:ascii="仿宋" w:hAnsi="仿宋" w:eastAsia="仿宋" w:cs="仿宋"/>
                <w:color w:val="auto"/>
                <w:sz w:val="21"/>
                <w:szCs w:val="21"/>
              </w:rPr>
              <w:t>装逆止器、</w:t>
            </w:r>
            <w:r>
              <w:rPr>
                <w:rFonts w:hint="eastAsia" w:ascii="仿宋" w:hAnsi="仿宋" w:eastAsia="仿宋" w:cs="仿宋"/>
                <w:color w:val="auto"/>
                <w:sz w:val="21"/>
                <w:szCs w:val="21"/>
                <w:lang w:val="en-US" w:eastAsia="zh-CN"/>
              </w:rPr>
              <w:t>防</w:t>
            </w:r>
            <w:r>
              <w:rPr>
                <w:rFonts w:hint="eastAsia" w:ascii="仿宋" w:hAnsi="仿宋" w:eastAsia="仿宋" w:cs="仿宋"/>
                <w:color w:val="auto"/>
                <w:sz w:val="21"/>
                <w:szCs w:val="21"/>
              </w:rPr>
              <w:t>倒转装置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0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9</w:t>
            </w:r>
          </w:p>
        </w:tc>
        <w:tc>
          <w:tcPr>
            <w:tcW w:w="931"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电解铝</w:t>
            </w:r>
          </w:p>
        </w:tc>
        <w:tc>
          <w:tcPr>
            <w:tcW w:w="186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母线提升作业</w:t>
            </w:r>
          </w:p>
        </w:tc>
        <w:tc>
          <w:tcPr>
            <w:tcW w:w="211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1.抬母线作业中交叉作业。</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2.吊运框架时限位太低碰撞槽上部设备。</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3.紧固卡具人员用手扶卡具。</w:t>
            </w:r>
          </w:p>
        </w:tc>
        <w:tc>
          <w:tcPr>
            <w:tcW w:w="225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1.设置限位开关。</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2.配置专用工具，使用气动自动上紧装置。</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3.设立工作区域，防止无关人员进入。</w:t>
            </w:r>
          </w:p>
        </w:tc>
        <w:tc>
          <w:tcPr>
            <w:tcW w:w="3115"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1.天车的上限位调整到能够吊运框架跨槽行走。</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2.专人监护统一操作指令。</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3.车间、班组定期维修人员进行安全技术培训。</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4.穿戴好工作服、防护面罩、耐高温劳保鞋、安全帽。</w:t>
            </w:r>
          </w:p>
        </w:tc>
        <w:tc>
          <w:tcPr>
            <w:tcW w:w="4119" w:type="dxa"/>
            <w:gridSpan w:val="2"/>
            <w:shd w:val="clear" w:color="auto" w:fill="auto"/>
            <w:vAlign w:val="center"/>
          </w:tcPr>
          <w:p>
            <w:pPr>
              <w:widowControl/>
              <w:jc w:val="center"/>
              <w:rPr>
                <w:rFonts w:hint="eastAsia" w:ascii="仿宋" w:hAnsi="仿宋" w:eastAsia="仿宋" w:cs="仿宋"/>
                <w:color w:val="auto"/>
                <w:sz w:val="21"/>
                <w:szCs w:val="21"/>
                <w:lang w:eastAsia="zh-CN"/>
              </w:rPr>
            </w:pPr>
            <w:r>
              <w:rPr>
                <w:sz w:val="21"/>
              </w:rPr>
              <mc:AlternateContent>
                <mc:Choice Requires="wps">
                  <w:drawing>
                    <wp:anchor distT="0" distB="0" distL="114300" distR="114300" simplePos="0" relativeHeight="251664384" behindDoc="0" locked="0" layoutInCell="1" allowOverlap="1">
                      <wp:simplePos x="0" y="0"/>
                      <wp:positionH relativeFrom="column">
                        <wp:posOffset>894715</wp:posOffset>
                      </wp:positionH>
                      <wp:positionV relativeFrom="paragraph">
                        <wp:posOffset>167640</wp:posOffset>
                      </wp:positionV>
                      <wp:extent cx="1093470" cy="1439545"/>
                      <wp:effectExtent l="19050" t="19050" r="30480" b="27305"/>
                      <wp:wrapNone/>
                      <wp:docPr id="40" name="椭圆 40"/>
                      <wp:cNvGraphicFramePr/>
                      <a:graphic xmlns:a="http://schemas.openxmlformats.org/drawingml/2006/main">
                        <a:graphicData uri="http://schemas.microsoft.com/office/word/2010/wordprocessingShape">
                          <wps:wsp>
                            <wps:cNvSpPr/>
                            <wps:spPr>
                              <a:xfrm>
                                <a:off x="8620125" y="1088390"/>
                                <a:ext cx="1093470" cy="143954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70.45pt;margin-top:13.2pt;height:113.35pt;width:86.1pt;z-index:251664384;v-text-anchor:middle;mso-width-relative:page;mso-height-relative:page;" filled="f" stroked="t" coordsize="21600,21600" o:gfxdata="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WAAAAZHJzL1BLAQIUABQAAAAIAIdO4kDEjo4R1wAAAAoBAAAPAAAAAAAAAAEAIAAAADgA&#10;AABkcnMvZG93bnJldi54bWxQSwECFAAUAAAACACHTuJAP1bQo2YCAACeBAAADgAAAAAAAAABACAA&#10;AAA8AQAAZHJzL2Uyb0RvYy54bWxQSwUGAAAAAAYABgBZAQAAFAYAAAAA&#10;">
                      <v:fill on="f" focussize="0,0"/>
                      <v:stroke weight="3pt" color="#FF0000 [3204]" miterlimit="8" joinstyle="miter"/>
                      <v:imagedata o:title=""/>
                      <o:lock v:ext="edit" aspectratio="f"/>
                    </v:shape>
                  </w:pict>
                </mc:Fallback>
              </mc:AlternateContent>
            </w:r>
            <w:r>
              <w:rPr>
                <w:rFonts w:hint="eastAsia" w:ascii="仿宋" w:hAnsi="仿宋" w:eastAsia="仿宋" w:cs="仿宋"/>
                <w:color w:val="auto"/>
                <w:sz w:val="21"/>
                <w:szCs w:val="21"/>
                <w:lang w:eastAsia="zh-CN"/>
              </w:rPr>
              <w:drawing>
                <wp:inline distT="0" distB="0" distL="114300" distR="114300">
                  <wp:extent cx="2069465" cy="2069465"/>
                  <wp:effectExtent l="0" t="0" r="635" b="635"/>
                  <wp:docPr id="35" name="图片 35" descr="aee9dd4827e6c60e89d8f802907acb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35" descr="aee9dd4827e6c60e89d8f802907acb8"/>
                          <pic:cNvPicPr>
                            <a:picLocks noChangeAspect="true"/>
                          </pic:cNvPicPr>
                        </pic:nvPicPr>
                        <pic:blipFill>
                          <a:blip r:embed="rId35"/>
                          <a:stretch>
                            <a:fillRect/>
                          </a:stretch>
                        </pic:blipFill>
                        <pic:spPr>
                          <a:xfrm>
                            <a:off x="0" y="0"/>
                            <a:ext cx="2069465" cy="2069465"/>
                          </a:xfrm>
                          <a:prstGeom prst="rect">
                            <a:avLst/>
                          </a:prstGeom>
                        </pic:spPr>
                      </pic:pic>
                    </a:graphicData>
                  </a:graphic>
                </wp:inline>
              </w:drawing>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液压锁紧装置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7" w:hRule="atLeast"/>
          <w:jc w:val="center"/>
        </w:trPr>
        <w:tc>
          <w:tcPr>
            <w:tcW w:w="50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10</w:t>
            </w:r>
          </w:p>
        </w:tc>
        <w:tc>
          <w:tcPr>
            <w:tcW w:w="931"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电解铝</w:t>
            </w:r>
          </w:p>
        </w:tc>
        <w:tc>
          <w:tcPr>
            <w:tcW w:w="186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换极作业</w:t>
            </w:r>
          </w:p>
        </w:tc>
        <w:tc>
          <w:tcPr>
            <w:tcW w:w="211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1.手扶阳极扳手引发伤人风险。</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2.人员靠近吊用阳极区域引发伤人风险。</w:t>
            </w:r>
          </w:p>
        </w:tc>
        <w:tc>
          <w:tcPr>
            <w:tcW w:w="225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使用自动锁紧装置。</w:t>
            </w:r>
          </w:p>
        </w:tc>
        <w:tc>
          <w:tcPr>
            <w:tcW w:w="3115"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1.换极作业区域设置警戒区域，人员在吊运2米范围外操作。</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2.现场作业人员严格控制在3人以内，警戒区域外设置监护人员。</w:t>
            </w:r>
          </w:p>
        </w:tc>
        <w:tc>
          <w:tcPr>
            <w:tcW w:w="4119" w:type="dxa"/>
            <w:gridSpan w:val="2"/>
            <w:shd w:val="clear" w:color="auto" w:fill="auto"/>
            <w:vAlign w:val="center"/>
          </w:tcPr>
          <w:p>
            <w:pPr>
              <w:widowControl/>
              <w:jc w:val="center"/>
              <w:rPr>
                <w:rFonts w:hint="eastAsia" w:ascii="仿宋" w:hAnsi="仿宋" w:eastAsia="仿宋" w:cs="仿宋"/>
                <w:color w:val="auto"/>
                <w:sz w:val="21"/>
                <w:szCs w:val="21"/>
              </w:rPr>
            </w:pP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mc:AlternateContent>
                <mc:Choice Requires="wps">
                  <w:drawing>
                    <wp:anchor distT="0" distB="0" distL="114300" distR="114300" simplePos="0" relativeHeight="251663360" behindDoc="0" locked="0" layoutInCell="1" allowOverlap="1">
                      <wp:simplePos x="0" y="0"/>
                      <wp:positionH relativeFrom="column">
                        <wp:posOffset>1217930</wp:posOffset>
                      </wp:positionH>
                      <wp:positionV relativeFrom="paragraph">
                        <wp:posOffset>43180</wp:posOffset>
                      </wp:positionV>
                      <wp:extent cx="474345" cy="508000"/>
                      <wp:effectExtent l="14605" t="14605" r="19050" b="23495"/>
                      <wp:wrapNone/>
                      <wp:docPr id="53" name="椭圆 53"/>
                      <wp:cNvGraphicFramePr/>
                      <a:graphic xmlns:a="http://schemas.openxmlformats.org/drawingml/2006/main">
                        <a:graphicData uri="http://schemas.microsoft.com/office/word/2010/wordprocessingShape">
                          <wps:wsp>
                            <wps:cNvSpPr/>
                            <wps:spPr>
                              <a:xfrm>
                                <a:off x="8805545" y="2775585"/>
                                <a:ext cx="474345" cy="5080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95.9pt;margin-top:3.4pt;height:40pt;width:37.35pt;z-index:251663360;v-text-anchor:middle;mso-width-relative:page;mso-height-relative:page;" filled="f" stroked="t" coordsize="21600,21600" o:gfxdata="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BYAAABkcnMvUEsBAhQAFAAAAAgAh07iQNETk7XWAAAACAEAAA8AAAAAAAAAAQAgAAAAOAAAAGRy&#10;cy9kb3ducmV2LnhtbFBLAQIUABQAAAAIAIdO4kCJQSoHYwIAAJwEAAAOAAAAAAAAAAEAIAAAADsB&#10;AABkcnMvZTJvRG9jLnhtbFBLBQYAAAAABgAGAFkBAAAQBgAAAAA=&#10;">
                      <v:fill on="f" focussize="0,0"/>
                      <v:stroke weight="2.25pt" color="#FF0000 [3204]" miterlimit="8" joinstyle="miter"/>
                      <v:imagedata o:title=""/>
                      <o:lock v:ext="edit" aspectratio="f"/>
                    </v:shape>
                  </w:pict>
                </mc:Fallback>
              </mc:AlternateContent>
            </w:r>
            <w:r>
              <w:rPr>
                <w:rFonts w:hint="eastAsia" w:ascii="仿宋" w:hAnsi="仿宋" w:eastAsia="仿宋" w:cs="仿宋"/>
                <w:color w:val="auto"/>
                <w:sz w:val="21"/>
                <w:szCs w:val="21"/>
              </w:rPr>
              <w:drawing>
                <wp:inline distT="0" distB="0" distL="0" distR="0">
                  <wp:extent cx="1803400" cy="935990"/>
                  <wp:effectExtent l="0" t="0" r="0" b="3810"/>
                  <wp:docPr id="51" name="图片 5"/>
                  <wp:cNvGraphicFramePr/>
                  <a:graphic xmlns:a="http://schemas.openxmlformats.org/drawingml/2006/main">
                    <a:graphicData uri="http://schemas.openxmlformats.org/drawingml/2006/picture">
                      <pic:pic xmlns:pic="http://schemas.openxmlformats.org/drawingml/2006/picture">
                        <pic:nvPicPr>
                          <pic:cNvPr id="51" name="图片 5"/>
                          <pic:cNvPicPr/>
                        </pic:nvPicPr>
                        <pic:blipFill>
                          <a:blip r:embed="rId36"/>
                          <a:stretch>
                            <a:fillRect/>
                          </a:stretch>
                        </pic:blipFill>
                        <pic:spPr>
                          <a:xfrm>
                            <a:off x="0" y="0"/>
                            <a:ext cx="1803400" cy="937912"/>
                          </a:xfrm>
                          <a:prstGeom prst="rect">
                            <a:avLst/>
                          </a:prstGeom>
                        </pic:spPr>
                      </pic:pic>
                    </a:graphicData>
                  </a:graphic>
                </wp:inline>
              </w:drawing>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气动自动锁紧装置代替手工锁紧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0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11</w:t>
            </w:r>
          </w:p>
        </w:tc>
        <w:tc>
          <w:tcPr>
            <w:tcW w:w="931"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有色金属合金制造</w:t>
            </w:r>
          </w:p>
        </w:tc>
        <w:tc>
          <w:tcPr>
            <w:tcW w:w="186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铸造机钢丝绳</w:t>
            </w:r>
          </w:p>
        </w:tc>
        <w:tc>
          <w:tcPr>
            <w:tcW w:w="211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卷扬系统防护不全，引发人身伤害风险。</w:t>
            </w:r>
          </w:p>
        </w:tc>
        <w:tc>
          <w:tcPr>
            <w:tcW w:w="225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1.卷扬系统设置防护装置。</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2.设置应急电源。</w:t>
            </w:r>
          </w:p>
        </w:tc>
        <w:tc>
          <w:tcPr>
            <w:tcW w:w="3115"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钢丝卷扬系统引锭盘托架钢丝绳定期检查和更换。</w:t>
            </w:r>
          </w:p>
        </w:tc>
        <w:tc>
          <w:tcPr>
            <w:tcW w:w="4119" w:type="dxa"/>
            <w:gridSpan w:val="2"/>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object>
                <v:shape id="_x0000_i1025" o:spt="75" alt="" type="#_x0000_t75" style="height:95.8pt;width:150.25pt;" o:ole="t" filled="f" o:preferrelative="t" stroked="f" coordsize="21600,21600">
                  <v:path/>
                  <v:fill on="f" focussize="0,0"/>
                  <v:stroke on="f"/>
                  <v:imagedata r:id="rId38" o:title=""/>
                  <o:lock v:ext="edit" aspectratio="t"/>
                  <w10:wrap type="none"/>
                  <w10:anchorlock/>
                </v:shape>
                <o:OLEObject Type="Embed" ProgID="PBrush" ShapeID="_x0000_i1025" DrawAspect="Content" ObjectID="_1468075725" r:id="rId37">
                  <o:LockedField>false</o:LockedField>
                </o:OLEObject>
              </w:object>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卷扬系统防护罩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0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12</w:t>
            </w:r>
          </w:p>
        </w:tc>
        <w:tc>
          <w:tcPr>
            <w:tcW w:w="931"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有色金属压延加工</w:t>
            </w:r>
          </w:p>
        </w:tc>
        <w:tc>
          <w:tcPr>
            <w:tcW w:w="186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挤压机机械手、牵引机</w:t>
            </w:r>
          </w:p>
        </w:tc>
        <w:tc>
          <w:tcPr>
            <w:tcW w:w="211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1.机械手运转过程中，存在伤人风险。</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2.牵引机牵引至冷床过程，存在伤人风险。</w:t>
            </w:r>
          </w:p>
        </w:tc>
        <w:tc>
          <w:tcPr>
            <w:tcW w:w="225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1.机械手周围设置防护网限制人员进入措施。</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2.牵引机运行区域设置防护网限制人员进入措施。</w:t>
            </w:r>
          </w:p>
        </w:tc>
        <w:tc>
          <w:tcPr>
            <w:tcW w:w="3115"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1.设备、操作区域设置“当心机械伤人”安全警示标志。</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2.设备的调整、维护、修理和清洁工作必须在停机时进行。</w:t>
            </w:r>
          </w:p>
        </w:tc>
        <w:tc>
          <w:tcPr>
            <w:tcW w:w="4119" w:type="dxa"/>
            <w:gridSpan w:val="2"/>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object>
                <v:shape id="_x0000_i1026" o:spt="75" alt="" type="#_x0000_t75" style="height:114.55pt;width:132.65pt;" o:ole="t" filled="f" o:preferrelative="t" stroked="f" coordsize="21600,21600">
                  <v:path/>
                  <v:fill on="f" focussize="0,0"/>
                  <v:stroke on="f"/>
                  <v:imagedata r:id="rId40" o:title=""/>
                  <o:lock v:ext="edit" aspectratio="t"/>
                  <w10:wrap type="none"/>
                  <w10:anchorlock/>
                </v:shape>
                <o:OLEObject Type="Embed" ProgID="PBrush" ShapeID="_x0000_i1026" DrawAspect="Content" ObjectID="_1468075726" r:id="rId39">
                  <o:LockedField>false</o:LockedField>
                </o:OLEObject>
              </w:object>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机械手活动半径内设置防护网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0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13</w:t>
            </w:r>
          </w:p>
        </w:tc>
        <w:tc>
          <w:tcPr>
            <w:tcW w:w="931"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有色金属压延加工</w:t>
            </w:r>
          </w:p>
        </w:tc>
        <w:tc>
          <w:tcPr>
            <w:tcW w:w="186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上卷作业、穿带作业</w:t>
            </w:r>
          </w:p>
        </w:tc>
        <w:tc>
          <w:tcPr>
            <w:tcW w:w="211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1.设备未回到初始位置。</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2.未安排专人进行操作，配合失误。</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3.安全门未关闭。</w:t>
            </w:r>
          </w:p>
        </w:tc>
        <w:tc>
          <w:tcPr>
            <w:tcW w:w="225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1.加装联锁保护。</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2.设置限位保护。</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3.操作前检查设备初始位置。</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4.使用专用工具代替手部作业。</w:t>
            </w:r>
          </w:p>
        </w:tc>
        <w:tc>
          <w:tcPr>
            <w:tcW w:w="3115"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 xml:space="preserve">1.制定岗位安全操作要点，并监督员工执行。                                      </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2.设备、操作区域设置“当心机械伤人”安全警示标志。</w:t>
            </w:r>
          </w:p>
        </w:tc>
        <w:tc>
          <w:tcPr>
            <w:tcW w:w="4119" w:type="dxa"/>
            <w:gridSpan w:val="2"/>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mc:AlternateContent>
                <mc:Choice Requires="wps">
                  <w:drawing>
                    <wp:anchor distT="0" distB="0" distL="114300" distR="114300" simplePos="0" relativeHeight="251662336" behindDoc="0" locked="0" layoutInCell="1" allowOverlap="1">
                      <wp:simplePos x="0" y="0"/>
                      <wp:positionH relativeFrom="column">
                        <wp:posOffset>814070</wp:posOffset>
                      </wp:positionH>
                      <wp:positionV relativeFrom="paragraph">
                        <wp:posOffset>295910</wp:posOffset>
                      </wp:positionV>
                      <wp:extent cx="1309370" cy="584835"/>
                      <wp:effectExtent l="4445" t="4445" r="6985" b="7620"/>
                      <wp:wrapNone/>
                      <wp:docPr id="52" name="文本框 52"/>
                      <wp:cNvGraphicFramePr/>
                      <a:graphic xmlns:a="http://schemas.openxmlformats.org/drawingml/2006/main">
                        <a:graphicData uri="http://schemas.microsoft.com/office/word/2010/wordprocessingShape">
                          <wps:wsp>
                            <wps:cNvSpPr txBox="true"/>
                            <wps:spPr>
                              <a:xfrm>
                                <a:off x="0" y="0"/>
                                <a:ext cx="1309370" cy="58483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宋体" w:hAnsi="宋体" w:eastAsia="宋体"/>
                                      <w:color w:val="FFFF00"/>
                                    </w:rPr>
                                  </w:pPr>
                                  <w:r>
                                    <w:rPr>
                                      <w:rFonts w:hint="eastAsia" w:ascii="宋体" w:hAnsi="宋体" w:eastAsia="宋体"/>
                                      <w:color w:val="FFFF00"/>
                                    </w:rPr>
                                    <w:t>设置联锁保护和激光限位</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64.1pt;margin-top:23.3pt;height:46.05pt;width:103.1pt;z-index:251662336;mso-width-relative:page;mso-height-relative:page;" filled="f" stroked="t" coordsize="21600,21600" o:gfxdata="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FgAAAGRycy9QSwECFAAUAAAACACHTuJArLC9&#10;vtoAAAAKAQAADwAAAAAAAAABACAAAAA4AAAAZHJzL2Rvd25yZXYueG1sUEsBAhQAFAAAAAgAh07i&#10;QDHV/GpDAgAAYgQAAA4AAAAAAAAAAQAgAAAAPwEAAGRycy9lMm9Eb2MueG1sUEsFBgAAAAAGAAYA&#10;WQEAAPQFAAAAAA==&#10;">
                      <v:fill on="f" focussize="0,0"/>
                      <v:stroke weight="0.5pt" color="#000000 [3204]" joinstyle="round"/>
                      <v:imagedata o:title=""/>
                      <o:lock v:ext="edit" aspectratio="f"/>
                      <v:textbox>
                        <w:txbxContent>
                          <w:p>
                            <w:pPr>
                              <w:rPr>
                                <w:rFonts w:ascii="宋体" w:hAnsi="宋体" w:eastAsia="宋体"/>
                                <w:color w:val="FFFF00"/>
                              </w:rPr>
                            </w:pPr>
                            <w:r>
                              <w:rPr>
                                <w:rFonts w:hint="eastAsia" w:ascii="宋体" w:hAnsi="宋体" w:eastAsia="宋体"/>
                                <w:color w:val="FFFF00"/>
                              </w:rPr>
                              <w:t>设置联锁保护和激光限位</w:t>
                            </w:r>
                          </w:p>
                        </w:txbxContent>
                      </v:textbox>
                    </v:shape>
                  </w:pict>
                </mc:Fallback>
              </mc:AlternateContent>
            </w:r>
            <w:r>
              <w:rPr>
                <w:rFonts w:hint="eastAsia" w:ascii="仿宋" w:hAnsi="仿宋" w:eastAsia="仿宋" w:cs="仿宋"/>
                <w:color w:val="auto"/>
                <w:sz w:val="21"/>
                <w:szCs w:val="21"/>
              </w:rPr>
              <w:drawing>
                <wp:inline distT="0" distB="0" distL="0" distR="0">
                  <wp:extent cx="2245360" cy="1228725"/>
                  <wp:effectExtent l="0" t="0" r="2540" b="3175"/>
                  <wp:docPr id="28" name="图片 28" descr="C:\Users\0-25-037\AppData\Local\Temp\WeChat Files\f3ca084a9b7cb33fea10b31b76e0886.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28" descr="C:\Users\0-25-037\AppData\Local\Temp\WeChat Files\f3ca084a9b7cb33fea10b31b76e0886.jpg"/>
                          <pic:cNvPicPr>
                            <a:picLocks noChangeAspect="true" noChangeArrowheads="true"/>
                          </pic:cNvPicPr>
                        </pic:nvPicPr>
                        <pic:blipFill>
                          <a:blip r:embed="rId41"/>
                          <a:srcRect/>
                          <a:stretch>
                            <a:fillRect/>
                          </a:stretch>
                        </pic:blipFill>
                        <pic:spPr>
                          <a:xfrm>
                            <a:off x="0" y="0"/>
                            <a:ext cx="2243749" cy="1227850"/>
                          </a:xfrm>
                          <a:prstGeom prst="rect">
                            <a:avLst/>
                          </a:prstGeom>
                          <a:noFill/>
                          <a:ln>
                            <a:noFill/>
                          </a:ln>
                        </pic:spPr>
                      </pic:pic>
                    </a:graphicData>
                  </a:graphic>
                </wp:inline>
              </w:drawing>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上卷托辊区域设置激光限位</w:t>
            </w:r>
          </w:p>
        </w:tc>
      </w:tr>
    </w:tbl>
    <w:p>
      <w:pPr>
        <w:rPr>
          <w:rFonts w:ascii="宋体" w:hAnsi="宋体" w:eastAsia="宋体"/>
          <w:sz w:val="28"/>
          <w:szCs w:val="32"/>
        </w:rPr>
      </w:pPr>
    </w:p>
    <w:p>
      <w:pPr>
        <w:rPr>
          <w:rFonts w:ascii="宋体" w:hAnsi="宋体" w:eastAsia="宋体"/>
          <w:sz w:val="28"/>
          <w:szCs w:val="32"/>
        </w:rPr>
      </w:pPr>
    </w:p>
    <w:p>
      <w:pPr>
        <w:rPr>
          <w:rFonts w:ascii="宋体" w:hAnsi="宋体" w:eastAsia="宋体"/>
          <w:sz w:val="28"/>
          <w:szCs w:val="32"/>
        </w:rPr>
      </w:pPr>
    </w:p>
    <w:p>
      <w:pPr>
        <w:rPr>
          <w:rFonts w:ascii="宋体" w:hAnsi="宋体" w:eastAsia="宋体"/>
          <w:sz w:val="28"/>
          <w:szCs w:val="32"/>
        </w:rPr>
      </w:pPr>
      <w:r>
        <w:rPr>
          <w:rFonts w:ascii="宋体" w:hAnsi="宋体" w:eastAsia="宋体"/>
          <w:sz w:val="28"/>
          <w:szCs w:val="32"/>
        </w:rPr>
        <w:br w:type="page"/>
      </w:r>
    </w:p>
    <w:p>
      <w:pP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4.建材行业典型机械伤害</w:t>
      </w:r>
      <w:r>
        <w:rPr>
          <w:rFonts w:hint="eastAsia" w:ascii="楷体_GB2312" w:hAnsi="楷体_GB2312" w:eastAsia="楷体_GB2312" w:cs="楷体_GB2312"/>
          <w:color w:val="auto"/>
          <w:sz w:val="28"/>
          <w:szCs w:val="32"/>
        </w:rPr>
        <w:t>事故</w:t>
      </w:r>
      <w:r>
        <w:rPr>
          <w:rFonts w:hint="eastAsia" w:ascii="楷体_GB2312" w:hAnsi="楷体_GB2312" w:eastAsia="楷体_GB2312" w:cs="楷体_GB2312"/>
          <w:sz w:val="28"/>
          <w:szCs w:val="32"/>
        </w:rPr>
        <w:t>管控措施</w:t>
      </w:r>
    </w:p>
    <w:tbl>
      <w:tblPr>
        <w:tblStyle w:val="5"/>
        <w:tblW w:w="148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2"/>
        <w:gridCol w:w="864"/>
        <w:gridCol w:w="1999"/>
        <w:gridCol w:w="1570"/>
        <w:gridCol w:w="2940"/>
        <w:gridCol w:w="3074"/>
        <w:gridCol w:w="39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42"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序号</w:t>
            </w:r>
          </w:p>
        </w:tc>
        <w:tc>
          <w:tcPr>
            <w:tcW w:w="864"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中类行业名称</w:t>
            </w:r>
          </w:p>
        </w:tc>
        <w:tc>
          <w:tcPr>
            <w:tcW w:w="1999"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典型设备设施或作业活动举例</w:t>
            </w:r>
          </w:p>
        </w:tc>
        <w:tc>
          <w:tcPr>
            <w:tcW w:w="1570"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事故原因</w:t>
            </w:r>
          </w:p>
        </w:tc>
        <w:tc>
          <w:tcPr>
            <w:tcW w:w="2940"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典型工程技术措施</w:t>
            </w:r>
          </w:p>
        </w:tc>
        <w:tc>
          <w:tcPr>
            <w:tcW w:w="3074"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典型的管理措施</w:t>
            </w:r>
          </w:p>
        </w:tc>
        <w:tc>
          <w:tcPr>
            <w:tcW w:w="3905"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好的做法示例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42"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w:t>
            </w:r>
          </w:p>
        </w:tc>
        <w:tc>
          <w:tcPr>
            <w:tcW w:w="86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水泥、石灰和石膏制造；玻璃制造、建筑卫生陶瓷制造、耐火材料制造、砖瓦石材等建筑材料制造、石膏板制造</w:t>
            </w:r>
          </w:p>
        </w:tc>
        <w:tc>
          <w:tcPr>
            <w:tcW w:w="199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输送设备（带式输送机）</w:t>
            </w:r>
          </w:p>
        </w:tc>
        <w:tc>
          <w:tcPr>
            <w:tcW w:w="157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1.设备开启状态违章拆卸防护网罩进行清理作业。</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2.检修过程设备突然启动；3.传动部位缺失防护或防护不可靠。</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4.穿戴围巾、过臀大衣、女工长发未收至防护帽内。</w:t>
            </w:r>
          </w:p>
        </w:tc>
        <w:tc>
          <w:tcPr>
            <w:tcW w:w="294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1.设置安全联锁装置，头部、尾部、张紧装置、改向部分等易挤夹部位设置可靠的防护网（栏、罩）,应有防打滑、防跑偏和防纵向撕裂的措施。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2.每个操作工位、升降段、转弯处必须设置急停装置，同时保证每25m范围内应不少于1个急停装置。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3.急停装置或紧急拉绳开关，应满足保证运输线紧急停机的要求，不得自动恢复，必须采取手动恢复。</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4.人员需要经常跨越运输线的地方应设过道桥；在运输设备下方通行的，运输设备下方应做好防护，防止物料掉落伤人或行人接触到运输设备。</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5.设置预示开车的声光信号装置和明显的警示标志。</w:t>
            </w:r>
          </w:p>
        </w:tc>
        <w:tc>
          <w:tcPr>
            <w:tcW w:w="3074"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1.设备检维修作业必须严格落实作业分级审批许可和停电挂牌上锁手续，安全设施拆除、恢复应经过许可；作业过程应有专人监护。</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2.应将违章拆卸防护网罩、输送机载人、在输送机运行时对拉紧滚筒进行人工手动加油或清理尾部滚筒积料纳入本企业严重违章范畴。</w:t>
            </w:r>
          </w:p>
        </w:tc>
        <w:tc>
          <w:tcPr>
            <w:tcW w:w="3905"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drawing>
                <wp:inline distT="0" distB="0" distL="0" distR="0">
                  <wp:extent cx="2202815" cy="3011805"/>
                  <wp:effectExtent l="0" t="0" r="6985" b="0"/>
                  <wp:docPr id="8"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true" noChangeArrowheads="true"/>
                          </pic:cNvPicPr>
                        </pic:nvPicPr>
                        <pic:blipFill>
                          <a:blip r:embed="rId42"/>
                          <a:srcRect/>
                          <a:stretch>
                            <a:fillRect/>
                          </a:stretch>
                        </pic:blipFill>
                        <pic:spPr>
                          <a:xfrm>
                            <a:off x="0" y="0"/>
                            <a:ext cx="2227030" cy="3044266"/>
                          </a:xfrm>
                          <a:prstGeom prst="rect">
                            <a:avLst/>
                          </a:prstGeom>
                          <a:noFill/>
                          <a:ln>
                            <a:noFill/>
                          </a:ln>
                        </pic:spPr>
                      </pic:pic>
                    </a:graphicData>
                  </a:graphic>
                </wp:inline>
              </w:drawing>
            </w:r>
          </w:p>
          <w:p>
            <w:pPr>
              <w:widowControl/>
              <w:jc w:val="center"/>
              <w:rPr>
                <w:rFonts w:hint="eastAsia" w:ascii="仿宋" w:hAnsi="仿宋" w:eastAsia="仿宋" w:cs="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42"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w:t>
            </w:r>
          </w:p>
        </w:tc>
        <w:tc>
          <w:tcPr>
            <w:tcW w:w="86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水泥、石灰和石膏制造；玻璃制造、建筑卫生陶瓷制造、耐火材料制造、砖瓦石材等建筑材料制造、石膏板制造</w:t>
            </w:r>
          </w:p>
        </w:tc>
        <w:tc>
          <w:tcPr>
            <w:tcW w:w="199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输送设备（斗式提升机、螺旋输送机等）、风机（轴流风机、排风机、高温风机等）</w:t>
            </w:r>
          </w:p>
        </w:tc>
        <w:tc>
          <w:tcPr>
            <w:tcW w:w="157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1.设备开启状态违章打开防护盖板、检修门。</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2.检修过程设备突然启动；外露传动部位缺失防护或防护不可靠。</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3.穿戴围巾、过臀大衣、女工长发未收至防护帽内。</w:t>
            </w:r>
          </w:p>
        </w:tc>
        <w:tc>
          <w:tcPr>
            <w:tcW w:w="294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1.机械运输系统的外露传动部位，都应安装防护罩或防护屏，防护罩或防护屏应安装牢固，安全间距符合要求。</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2.每个操作工位必须设置急停装置，急停装置应满足保证运输线紧急停机的要求，不得自动恢复，必须采取手动恢复。</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3.设备电机及减速机基础螺栓固定牢固，运行稳定可靠。</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4.斗式提升机、螺旋输送机防护盖板、检修门应可靠锁闭。</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5.人员需要经常跨越运输线的地方应设过道桥，禁止踩踏输送设备外壳。</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6.斗式提升机检修时应对链斗可靠固定。</w:t>
            </w:r>
          </w:p>
        </w:tc>
        <w:tc>
          <w:tcPr>
            <w:tcW w:w="3074"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1.岗位安全操作规程应涵盖巡检、检维修流程及对应风险分析、安全要点、严禁事项、防护用品、应急措施等内容。</w:t>
            </w:r>
          </w:p>
          <w:p>
            <w:pPr>
              <w:widowControl/>
              <w:jc w:val="left"/>
              <w:rPr>
                <w:rFonts w:hint="eastAsia" w:ascii="仿宋" w:hAnsi="仿宋" w:eastAsia="仿宋" w:cs="仿宋"/>
                <w:sz w:val="21"/>
                <w:szCs w:val="21"/>
              </w:rPr>
            </w:pPr>
            <w:r>
              <w:rPr>
                <w:rFonts w:hint="eastAsia" w:ascii="仿宋" w:hAnsi="仿宋" w:eastAsia="仿宋" w:cs="仿宋"/>
                <w:sz w:val="21"/>
                <w:szCs w:val="21"/>
              </w:rPr>
              <w:t>2.设备检维修作业必须严格落实作业分级审批许可和停电挂牌上锁手续，安全设施拆除、恢复应经过许可；作业过程应有专人监护。</w:t>
            </w:r>
          </w:p>
          <w:p>
            <w:pPr>
              <w:widowControl/>
              <w:jc w:val="left"/>
              <w:rPr>
                <w:rFonts w:hint="eastAsia" w:ascii="仿宋" w:hAnsi="仿宋" w:eastAsia="仿宋" w:cs="仿宋"/>
                <w:sz w:val="21"/>
                <w:szCs w:val="21"/>
              </w:rPr>
            </w:pPr>
            <w:r>
              <w:rPr>
                <w:rFonts w:hint="eastAsia" w:ascii="仿宋" w:hAnsi="仿宋" w:eastAsia="仿宋" w:cs="仿宋"/>
                <w:sz w:val="21"/>
                <w:szCs w:val="21"/>
              </w:rPr>
              <w:t>3.应将违章拆卸设备安全设施纳入本企业严重违章范畴；</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4.为员工提供符合国家标准的防护用品并督促员工正确穿戴。</w:t>
            </w:r>
          </w:p>
        </w:tc>
        <w:tc>
          <w:tcPr>
            <w:tcW w:w="3905"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27" o:spt="75" alt="" type="#_x0000_t75" style="height:266.75pt;width:168.95pt;" o:ole="t" filled="f" o:preferrelative="t" stroked="f" coordsize="21600,21600">
                  <v:path/>
                  <v:fill on="f" focussize="0,0"/>
                  <v:stroke on="f"/>
                  <v:imagedata r:id="rId44" o:title=""/>
                  <o:lock v:ext="edit" aspectratio="t"/>
                  <w10:wrap type="none"/>
                  <w10:anchorlock/>
                </v:shape>
                <o:OLEObject Type="Embed" ProgID="PBrush" ShapeID="_x0000_i1027" DrawAspect="Content" ObjectID="_1468075727" r:id="rId43">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42"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w:t>
            </w:r>
          </w:p>
        </w:tc>
        <w:tc>
          <w:tcPr>
            <w:tcW w:w="86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水泥、石灰和石膏制造</w:t>
            </w:r>
          </w:p>
        </w:tc>
        <w:tc>
          <w:tcPr>
            <w:tcW w:w="199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堆取料机</w:t>
            </w:r>
          </w:p>
        </w:tc>
        <w:tc>
          <w:tcPr>
            <w:tcW w:w="157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人员易接近的堆、取料设备或运动件外露的输送设备未设置防护网、急停装置等隔离防护装置。</w:t>
            </w:r>
          </w:p>
        </w:tc>
        <w:tc>
          <w:tcPr>
            <w:tcW w:w="294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1.堆、取料机行走路线端部，应设置警示灯和人员行走安全警示线。</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2.取料机刮板开敞侧运动外缘应设置隔离防护装置或加装自动报警或急停装置，当人员接近时可自动报警或紧急停机。</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3.运转机械旁的巡检通道小于1ｍ时，运转机械裸露的运动件应装设防护网。</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4.带式输送机应在巡检通道一侧或两侧设置拉绳开关，拉绳开关宜每隔25m设置一个。</w:t>
            </w:r>
          </w:p>
        </w:tc>
        <w:tc>
          <w:tcPr>
            <w:tcW w:w="3074"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1.设备检维修作业必须严格落实作业分级审批许可和停电挂牌上锁手续，安全设施拆除、恢复应经过许可；作业过程应有专人监护。</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2.应将违章拆卸设备安全设施纳入本企业严重违章范畴。</w:t>
            </w:r>
          </w:p>
        </w:tc>
        <w:tc>
          <w:tcPr>
            <w:tcW w:w="3905"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28" o:spt="75" alt="" type="#_x0000_t75" style="height:206.45pt;width:158.55pt;" o:ole="t" filled="f" o:preferrelative="t" stroked="f" coordsize="21600,21600">
                  <v:path/>
                  <v:fill on="f" focussize="0,0"/>
                  <v:stroke on="f"/>
                  <v:imagedata r:id="rId46" o:title=""/>
                  <o:lock v:ext="edit" aspectratio="t"/>
                  <w10:wrap type="none"/>
                  <w10:anchorlock/>
                </v:shape>
                <o:OLEObject Type="Embed" ProgID="PBrush" ShapeID="_x0000_i1028" DrawAspect="Content" ObjectID="_1468075728" r:id="rId45">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42"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w:t>
            </w:r>
          </w:p>
        </w:tc>
        <w:tc>
          <w:tcPr>
            <w:tcW w:w="86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水泥、石灰和石膏制造；玻璃制造、建筑卫生陶瓷制造、耐火材料制造、砖瓦石材等建筑材料制造、石膏板制造</w:t>
            </w:r>
          </w:p>
        </w:tc>
        <w:tc>
          <w:tcPr>
            <w:tcW w:w="199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装卸、包装设备（入料口、包装机等）</w:t>
            </w:r>
          </w:p>
        </w:tc>
        <w:tc>
          <w:tcPr>
            <w:tcW w:w="157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1.设备开启状态违章拆卸防护装置；检修过程设备突然启动。</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2.传动部位缺失防护或防护不可靠；人员误操作。</w:t>
            </w:r>
          </w:p>
        </w:tc>
        <w:tc>
          <w:tcPr>
            <w:tcW w:w="294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1.包装及输送设备防护齐全可靠，拉紧、制动、保护、联锁、安全保险装置有效。</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2.给料或转运料斗及料槽开口位置设置格栅、箅子等防护装置。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3.防护罩、格栅的安全距离应符合GB2382相关规定要求。</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4.筛分、计量、控制设施完好。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5.设置预示开车的声光信号装置和明显的警示标志。</w:t>
            </w:r>
          </w:p>
        </w:tc>
        <w:tc>
          <w:tcPr>
            <w:tcW w:w="307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1.严禁带料启动设备；包装机在运转时，禁止到包装机里面去拉包，严禁在无安全措施的条件下对正在运行的输送设备进行维护调整。</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2.发生夹包，及时停机，禁止在设备运转时处理问题；</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3.水泥包装工位应设置必要的防止坠入的牵引措施。</w:t>
            </w:r>
          </w:p>
        </w:tc>
        <w:tc>
          <w:tcPr>
            <w:tcW w:w="3905"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29" o:spt="75" alt="" type="#_x0000_t75" style="height:222.25pt;width:160.25pt;" o:ole="t" filled="f" o:preferrelative="t" stroked="f" coordsize="21600,21600">
                  <v:path/>
                  <v:fill on="f" focussize="0,0"/>
                  <v:stroke on="f"/>
                  <v:imagedata r:id="rId48" o:title=""/>
                  <o:lock v:ext="edit" aspectratio="t"/>
                  <w10:wrap type="none"/>
                  <w10:anchorlock/>
                </v:shape>
                <o:OLEObject Type="Embed" ProgID="PBrush" ShapeID="_x0000_i1029" DrawAspect="Content" ObjectID="_1468075729" r:id="rId47">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42"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w:t>
            </w:r>
          </w:p>
        </w:tc>
        <w:tc>
          <w:tcPr>
            <w:tcW w:w="86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水泥、石灰和石膏制造；玻璃制造、建筑卫生陶瓷制造、耐火材料制造、砖瓦石材等建筑材料制造、石膏板制造</w:t>
            </w:r>
          </w:p>
        </w:tc>
        <w:tc>
          <w:tcPr>
            <w:tcW w:w="199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破碎设备（颚式破碎机、锤式破碎机、立轴式破碎机、辊式破碎机等）</w:t>
            </w:r>
          </w:p>
        </w:tc>
        <w:tc>
          <w:tcPr>
            <w:tcW w:w="157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1.设备开启状态违章拆卸防护罩。</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2.检修过程设备突然启动。3.传动部位缺失防护或防护不可靠。</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4.穿戴围巾、过臀大衣、女工长发未收至安全帽内。</w:t>
            </w:r>
          </w:p>
        </w:tc>
        <w:tc>
          <w:tcPr>
            <w:tcW w:w="294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1.设备周围应留有足够的操作和维修空间，操作位置应有良好的通道及可视性，设备检修人孔门坚固可靠，传动皮带完好。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2.设备应设置机旁控制装置，机旁控制装置应布置在操作人员能够看到整个设备动作的位置，机旁开关应能强制分断主电路，并具有锁定装置及开关位置标志。</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3.设备传动装置的旋转件外露部分应配置防护罩或防护网等安全防护装置，露出的轴承应加护盖。</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4.通道、梯台、护网（栏）符合规定，所有启动和停止装置应有明显标志并易于接近。</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5.设备液压润滑系统应符合要求，系统压力不得超过最大允许压力。</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6.设置预示开车的声光信号装置和明显的警示标志。</w:t>
            </w:r>
          </w:p>
        </w:tc>
        <w:tc>
          <w:tcPr>
            <w:tcW w:w="307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1.设备检维修作业必须严格落实作业分级审批许可和停电挂牌上锁手续，安全设施拆除、恢复应经过许可；作业过程应有专人监护。</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2.设备的调整、维护、修理和清洁工作必须在停机断电时进行。</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3.严禁设备运行时将手伸入破碎机内清理物料、维护调整、人体接近或触摸运转的部位。</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4.给料块度不应大于设备的允许块度。</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5.设备运转时加油，应使用油管延伸至安全地带。</w:t>
            </w:r>
          </w:p>
        </w:tc>
        <w:tc>
          <w:tcPr>
            <w:tcW w:w="3905"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30" o:spt="75" alt="" type="#_x0000_t75" style="height:286.35pt;width:173.15pt;" o:ole="t" filled="f" o:preferrelative="t" stroked="f" coordsize="21600,21600">
                  <v:path/>
                  <v:fill on="f" focussize="0,0"/>
                  <v:stroke on="f"/>
                  <v:imagedata r:id="rId50" o:title=""/>
                  <o:lock v:ext="edit" aspectratio="t"/>
                  <w10:wrap type="none"/>
                  <w10:anchorlock/>
                </v:shape>
                <o:OLEObject Type="Embed" ProgID="PBrush" ShapeID="_x0000_i1030" DrawAspect="Content" ObjectID="_1468075730" r:id="rId49">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42"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6</w:t>
            </w:r>
          </w:p>
        </w:tc>
        <w:tc>
          <w:tcPr>
            <w:tcW w:w="86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水泥、石灰和石膏制造；玻璃制造、建筑卫生陶瓷制造、耐火材料制造、砖瓦石材等建筑材料制造、石膏板制造</w:t>
            </w:r>
          </w:p>
        </w:tc>
        <w:tc>
          <w:tcPr>
            <w:tcW w:w="199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粉磨设备（球磨机、立磨机、辊压机等）</w:t>
            </w:r>
          </w:p>
        </w:tc>
        <w:tc>
          <w:tcPr>
            <w:tcW w:w="157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1.磨机、选粉机、辊压机等设备未设置机旁控制装置或无开机声光信号装置。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2.设备及传动装置的旋转部位未设置防护栏、防护网、防护罩、护盖等防护装置。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3.未定期监控球磨机的运行情况。</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4.球磨机违章检修。</w:t>
            </w:r>
          </w:p>
        </w:tc>
        <w:tc>
          <w:tcPr>
            <w:tcW w:w="294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磨机、选粉机、辊压机等设备应设置机旁控制装置，机旁控制装置应布置在操作人员能够看到整个设备动作的位置，机旁开关应能强制分断主电路，并具有锁定装置及开关位置标志；球磨机筒体各部件螺丝齐全，牢固可靠。</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2.磨机、选粉机、辊压机等设备现场应设有预示开车的声光信号装置。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3.球磨机旋转筒体两侧应悬挂“禁止穿越”的警示牌。</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4.应在球磨机旋转筒体两端装设安全可靠的防护网。</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5.设备传动装置的旋转件外露部分应配置防护罩或防护网等安全防护装置，露出的轴承应加护盖。</w:t>
            </w:r>
          </w:p>
        </w:tc>
        <w:tc>
          <w:tcPr>
            <w:tcW w:w="307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检维修作业必须严格落实作业分级审批许可和停电挂牌上锁手续，安全设施拆除、恢复应经过许可，作业过程应有专人监护；检修前，应对球磨机筒体进行固定，防止检修过程中筒体转动；调整作业位置时，作业人员应撤出筒体；镶砌球衬时，应确保完成部分粘结牢固后再进行下一步操作。</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2.设备运转严禁拆卸防护网罩、穿越防护栏、接触传动部位。</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球磨机连续起动严禁超过两次，第一次与第二次应间隔５分钟以上，第三次起动应经电工、钳工配合检查后方可起动；球磨机应严格执行给矿、给水、添加球石的规定；球磨机大瓦发热，发生烧瓦事故或接近烧瓦时，应立即采取强制冷却措施，严禁立即停车；球磨完成后，球磨机开盖前应确保已经卸压；每半小时应检查一次主轴承及电机温度；超过80℃时，采用强制冷却。</w:t>
            </w:r>
          </w:p>
        </w:tc>
        <w:tc>
          <w:tcPr>
            <w:tcW w:w="3905"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31" o:spt="75" alt="" type="#_x0000_t75" style="height:300.9pt;width:178.15pt;" o:ole="t" filled="f" o:preferrelative="t" stroked="f" coordsize="21600,21600">
                  <v:path/>
                  <v:fill on="f" focussize="0,0"/>
                  <v:stroke on="f"/>
                  <v:imagedata r:id="rId52" o:title=""/>
                  <o:lock v:ext="edit" aspectratio="t"/>
                  <w10:wrap type="none"/>
                  <w10:anchorlock/>
                </v:shape>
                <o:OLEObject Type="Embed" ProgID="PBrush" ShapeID="_x0000_i1031" DrawAspect="Content" ObjectID="_1468075731" r:id="rId51">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42"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7</w:t>
            </w:r>
          </w:p>
        </w:tc>
        <w:tc>
          <w:tcPr>
            <w:tcW w:w="86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水泥、石灰和石膏制造、平板玻璃制造</w:t>
            </w:r>
          </w:p>
        </w:tc>
        <w:tc>
          <w:tcPr>
            <w:tcW w:w="199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搅拌主机、混合机</w:t>
            </w:r>
          </w:p>
        </w:tc>
        <w:tc>
          <w:tcPr>
            <w:tcW w:w="157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1.设备开启状态违章拆卸主机皮带防护罩。</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2.检修过程设备突然启动。3.传动部位缺失防护或防护不可靠。</w:t>
            </w:r>
          </w:p>
        </w:tc>
        <w:tc>
          <w:tcPr>
            <w:tcW w:w="294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1.设备应有总停开关及相应的急停和安全装置，并定期进行检查。</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2.设备传动装置的旋转件外露部分应配置防护罩。</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3.设置预示开车的声光信号装置和明显的警示标志。</w:t>
            </w:r>
          </w:p>
        </w:tc>
        <w:tc>
          <w:tcPr>
            <w:tcW w:w="307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1.设备检维修作业必须严格落实作业分级审批许可和停电挂牌上锁手续。</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2.现场开关钥匙由进入作业人员保管；固定搅拌机轴；使用气动工具；作业过程应有专人监护。</w:t>
            </w:r>
          </w:p>
        </w:tc>
        <w:tc>
          <w:tcPr>
            <w:tcW w:w="3905"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32" o:spt="75" alt="" type="#_x0000_t75" style="height:188.95pt;width:177.7pt;" o:ole="t" filled="f" o:preferrelative="t" stroked="f" coordsize="21600,21600">
                  <v:path/>
                  <v:fill on="f" focussize="0,0"/>
                  <v:stroke on="f"/>
                  <v:imagedata r:id="rId54" o:title=""/>
                  <o:lock v:ext="edit" aspectratio="t"/>
                  <w10:wrap type="none"/>
                  <w10:anchorlock/>
                </v:shape>
                <o:OLEObject Type="Embed" ProgID="PBrush" ShapeID="_x0000_i1032" DrawAspect="Content" ObjectID="_1468075732" r:id="rId53">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42"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8</w:t>
            </w:r>
          </w:p>
        </w:tc>
        <w:tc>
          <w:tcPr>
            <w:tcW w:w="86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建筑卫生陶瓷制造、平板玻璃制造</w:t>
            </w:r>
          </w:p>
        </w:tc>
        <w:tc>
          <w:tcPr>
            <w:tcW w:w="199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机械手</w:t>
            </w:r>
          </w:p>
        </w:tc>
        <w:tc>
          <w:tcPr>
            <w:tcW w:w="157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旋转的机械手缺少防护围栏遮护。</w:t>
            </w:r>
          </w:p>
        </w:tc>
        <w:tc>
          <w:tcPr>
            <w:tcW w:w="294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1.用防护围栏遮护，防护围栏的关开与机械手开关互为保护连锁。</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2.悬挂警示标志。</w:t>
            </w:r>
          </w:p>
        </w:tc>
        <w:tc>
          <w:tcPr>
            <w:tcW w:w="307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1.岗位安全操作规程应涵盖巡检、检维修流程及对应风险分析、安全要点、严禁事项、防护用品、应急措施等内容。</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2.设备检维修作业必须严格落实作业分级审批许可和停电挂牌上锁手续，安全设施拆除、恢复应经过许可；作业过程应有专人监护。</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3.设备的调整、维护、修理和清洁工作必须在停机断电时进行。</w:t>
            </w:r>
          </w:p>
        </w:tc>
        <w:tc>
          <w:tcPr>
            <w:tcW w:w="3905"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33" o:spt="75" alt="" type="#_x0000_t75" style="height:179.4pt;width:181.85pt;" o:ole="t" filled="f" o:preferrelative="t" stroked="f" coordsize="21600,21600">
                  <v:path/>
                  <v:fill on="f" focussize="0,0"/>
                  <v:stroke on="f"/>
                  <v:imagedata r:id="rId56" o:title=""/>
                  <o:lock v:ext="edit" aspectratio="t"/>
                  <w10:wrap type="none"/>
                  <w10:anchorlock/>
                </v:shape>
                <o:OLEObject Type="Embed" ProgID="PBrush" ShapeID="_x0000_i1033" DrawAspect="Content" ObjectID="_1468075733" r:id="rId55">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42"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9</w:t>
            </w:r>
          </w:p>
        </w:tc>
        <w:tc>
          <w:tcPr>
            <w:tcW w:w="86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建筑卫生陶瓷制造、耐火材料制品制造</w:t>
            </w:r>
          </w:p>
        </w:tc>
        <w:tc>
          <w:tcPr>
            <w:tcW w:w="199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成型机、液压机</w:t>
            </w:r>
          </w:p>
        </w:tc>
        <w:tc>
          <w:tcPr>
            <w:tcW w:w="157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1.设备周围未设置防护装置。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2.设备运行过程中违反规定进行设备调整和清理。</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3.因停电停车或其他情况异常停机，未断开电路就进行检维修操作。</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4.停机、检修时压块未采取支撑防护措施。</w:t>
            </w:r>
          </w:p>
        </w:tc>
        <w:tc>
          <w:tcPr>
            <w:tcW w:w="294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1.设置可靠的防护隔离装置。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2.停机时压块应稳慢落下，停止一定的位置，并采取支撑防护措施，防止压块落下伤人。</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成型设备应安装防止压手的安全装置，摩擦压砖机的摩擦轮周围应设安全防护平台；采用机械手时，机械手摇臂活动范围的四周，应设安全围栏；液压机应有防止过载的安全装置；静油（水）压砖机（等静压机）升压过程中，操作人员应位于保护屏的后面，不应靠近超高压泵和高压管道。</w:t>
            </w:r>
          </w:p>
        </w:tc>
        <w:tc>
          <w:tcPr>
            <w:tcW w:w="307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1.机器运转时，除调节调料深度外，严禁调整和清理工作；因停电停车或其他情况异常停机，应立即断开电路，且确保所有防护装置有效，然后再进行检维修等操作。</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2.进行检修作业时，应至少有两名工作人员参与；检修前，应切断电源，并在电源处加装锁具，上锁挂签，安排专人看护，检修完成前严禁打开电源。</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3.检修前，应用铁块支柱支撑压块。</w:t>
            </w:r>
          </w:p>
        </w:tc>
        <w:tc>
          <w:tcPr>
            <w:tcW w:w="3905"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34" o:spt="75" alt="" type="#_x0000_t75" style="height:87.4pt;width:178.15pt;" o:ole="t" filled="f" o:preferrelative="t" stroked="f" coordsize="21600,21600">
                  <v:path/>
                  <v:fill on="f" focussize="0,0"/>
                  <v:stroke on="f"/>
                  <v:imagedata r:id="rId58" o:title=""/>
                  <o:lock v:ext="edit" aspectratio="t"/>
                  <w10:wrap type="none"/>
                  <w10:anchorlock/>
                </v:shape>
                <o:OLEObject Type="Embed" ProgID="PBrush" ShapeID="_x0000_i1034" DrawAspect="Content" ObjectID="_1468075734" r:id="rId57">
                  <o:LockedField>false</o:LockedField>
                </o:OLEObject>
              </w:object>
            </w:r>
          </w:p>
        </w:tc>
      </w:tr>
    </w:tbl>
    <w:p>
      <w:pPr>
        <w:rPr>
          <w:rFonts w:ascii="宋体" w:hAnsi="宋体" w:eastAsia="宋体"/>
          <w:sz w:val="28"/>
          <w:szCs w:val="32"/>
        </w:rPr>
      </w:pPr>
    </w:p>
    <w:p>
      <w:pPr>
        <w:rPr>
          <w:rFonts w:ascii="宋体" w:hAnsi="宋体" w:eastAsia="宋体"/>
          <w:sz w:val="28"/>
          <w:szCs w:val="32"/>
        </w:rPr>
      </w:pPr>
    </w:p>
    <w:p>
      <w:pPr>
        <w:rPr>
          <w:rFonts w:ascii="宋体" w:hAnsi="宋体" w:eastAsia="宋体"/>
          <w:sz w:val="28"/>
          <w:szCs w:val="32"/>
        </w:rPr>
      </w:pPr>
    </w:p>
    <w:p>
      <w:pPr>
        <w:rPr>
          <w:rFonts w:ascii="宋体" w:hAnsi="宋体" w:eastAsia="宋体"/>
          <w:sz w:val="28"/>
          <w:szCs w:val="32"/>
        </w:rPr>
      </w:pPr>
      <w:r>
        <w:rPr>
          <w:rFonts w:ascii="宋体" w:hAnsi="宋体" w:eastAsia="宋体"/>
          <w:sz w:val="28"/>
          <w:szCs w:val="32"/>
        </w:rPr>
        <w:br w:type="page"/>
      </w:r>
    </w:p>
    <w:p>
      <w:pP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5.机械行业典型机械伤害</w:t>
      </w:r>
      <w:r>
        <w:rPr>
          <w:rFonts w:hint="eastAsia" w:ascii="楷体_GB2312" w:hAnsi="楷体_GB2312" w:eastAsia="楷体_GB2312" w:cs="楷体_GB2312"/>
          <w:color w:val="auto"/>
          <w:sz w:val="28"/>
          <w:szCs w:val="32"/>
        </w:rPr>
        <w:t>事故</w:t>
      </w:r>
      <w:r>
        <w:rPr>
          <w:rFonts w:hint="eastAsia" w:ascii="楷体_GB2312" w:hAnsi="楷体_GB2312" w:eastAsia="楷体_GB2312" w:cs="楷体_GB2312"/>
          <w:sz w:val="28"/>
          <w:szCs w:val="32"/>
        </w:rPr>
        <w:t>管控措施</w:t>
      </w:r>
    </w:p>
    <w:tbl>
      <w:tblPr>
        <w:tblStyle w:val="5"/>
        <w:tblW w:w="148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9"/>
        <w:gridCol w:w="861"/>
        <w:gridCol w:w="1996"/>
        <w:gridCol w:w="1567"/>
        <w:gridCol w:w="2863"/>
        <w:gridCol w:w="3149"/>
        <w:gridCol w:w="39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序号</w:t>
            </w:r>
          </w:p>
        </w:tc>
        <w:tc>
          <w:tcPr>
            <w:tcW w:w="861"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中类行业名称</w:t>
            </w:r>
          </w:p>
        </w:tc>
        <w:tc>
          <w:tcPr>
            <w:tcW w:w="1996"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典型设备设施或作业活动举例</w:t>
            </w:r>
          </w:p>
        </w:tc>
        <w:tc>
          <w:tcPr>
            <w:tcW w:w="1567"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事故原因</w:t>
            </w:r>
          </w:p>
        </w:tc>
        <w:tc>
          <w:tcPr>
            <w:tcW w:w="2863"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典型工程技术措施</w:t>
            </w:r>
          </w:p>
        </w:tc>
        <w:tc>
          <w:tcPr>
            <w:tcW w:w="3149"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典型的管理措施</w:t>
            </w:r>
          </w:p>
        </w:tc>
        <w:tc>
          <w:tcPr>
            <w:tcW w:w="3919"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好的做法示例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w:t>
            </w:r>
          </w:p>
        </w:tc>
        <w:tc>
          <w:tcPr>
            <w:tcW w:w="861"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通用设备制造业、专用设备制造业、汽车制造业</w:t>
            </w:r>
          </w:p>
        </w:tc>
        <w:tc>
          <w:tcPr>
            <w:tcW w:w="199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通用机械设备</w:t>
            </w:r>
          </w:p>
        </w:tc>
        <w:tc>
          <w:tcPr>
            <w:tcW w:w="1567"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1.私自拆除或短接设备设施原有的安全装置。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2.两米以下链轮、皮带轮、齿轮咬合等卷入点无防护措施。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3.旋转运动的法兰盘、联轴节、有凸起的轴等，没有防止人员触及的防护装置。</w:t>
            </w:r>
          </w:p>
        </w:tc>
        <w:tc>
          <w:tcPr>
            <w:tcW w:w="2863"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1.对于危及生命部件、区域，应设置隔离重大风险的安全装置并警示。</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2.设置链轮、皮带轮、齿轮咬合点护罩、护栏。</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3.消除旋转轴的凸起。</w:t>
            </w:r>
          </w:p>
        </w:tc>
        <w:tc>
          <w:tcPr>
            <w:tcW w:w="314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1.纳入重点风险管控清单，落实风险分级管控，定期排查事故隐患。</w:t>
            </w:r>
          </w:p>
          <w:p>
            <w:pPr>
              <w:widowControl/>
              <w:jc w:val="left"/>
              <w:rPr>
                <w:rFonts w:hint="eastAsia" w:ascii="仿宋" w:hAnsi="仿宋" w:eastAsia="仿宋" w:cs="仿宋"/>
                <w:sz w:val="21"/>
                <w:szCs w:val="21"/>
              </w:rPr>
            </w:pPr>
            <w:r>
              <w:rPr>
                <w:rFonts w:hint="eastAsia" w:ascii="仿宋" w:hAnsi="仿宋" w:eastAsia="仿宋" w:cs="仿宋"/>
                <w:sz w:val="21"/>
                <w:szCs w:val="21"/>
              </w:rPr>
              <w:t>2.纳入岗位点检清单，落实岗位点检。</w:t>
            </w:r>
          </w:p>
          <w:p>
            <w:pPr>
              <w:widowControl/>
              <w:jc w:val="left"/>
              <w:rPr>
                <w:rFonts w:hint="eastAsia" w:ascii="仿宋" w:hAnsi="仿宋" w:eastAsia="仿宋" w:cs="仿宋"/>
                <w:sz w:val="21"/>
                <w:szCs w:val="21"/>
              </w:rPr>
            </w:pPr>
            <w:r>
              <w:rPr>
                <w:rFonts w:hint="eastAsia" w:ascii="仿宋" w:hAnsi="仿宋" w:eastAsia="仿宋" w:cs="仿宋"/>
                <w:sz w:val="21"/>
                <w:szCs w:val="21"/>
              </w:rPr>
              <w:t>3.禁止戴手套操作旋转机床。</w:t>
            </w:r>
          </w:p>
          <w:p>
            <w:pPr>
              <w:widowControl/>
              <w:jc w:val="left"/>
              <w:rPr>
                <w:rFonts w:hint="eastAsia" w:ascii="仿宋" w:hAnsi="仿宋" w:eastAsia="仿宋" w:cs="仿宋"/>
                <w:sz w:val="21"/>
                <w:szCs w:val="21"/>
              </w:rPr>
            </w:pPr>
            <w:r>
              <w:rPr>
                <w:rFonts w:hint="eastAsia" w:ascii="仿宋" w:hAnsi="仿宋" w:eastAsia="仿宋" w:cs="仿宋"/>
                <w:sz w:val="21"/>
                <w:szCs w:val="21"/>
              </w:rPr>
              <w:t>4.岗位点检控风险，定期检查除隐患。</w:t>
            </w:r>
          </w:p>
          <w:p>
            <w:pPr>
              <w:widowControl/>
              <w:jc w:val="left"/>
              <w:rPr>
                <w:rFonts w:hint="eastAsia" w:ascii="仿宋" w:hAnsi="仿宋" w:eastAsia="仿宋" w:cs="仿宋"/>
                <w:sz w:val="21"/>
                <w:szCs w:val="21"/>
              </w:rPr>
            </w:pPr>
            <w:r>
              <w:rPr>
                <w:rFonts w:hint="eastAsia" w:ascii="仿宋" w:hAnsi="仿宋" w:eastAsia="仿宋" w:cs="仿宋"/>
                <w:sz w:val="21"/>
                <w:szCs w:val="21"/>
              </w:rPr>
              <w:t>5.禁止跨越旋转部位。</w:t>
            </w:r>
          </w:p>
        </w:tc>
        <w:tc>
          <w:tcPr>
            <w:tcW w:w="3919" w:type="dxa"/>
            <w:shd w:val="clear" w:color="auto" w:fill="auto"/>
            <w:vAlign w:val="center"/>
          </w:tcPr>
          <w:p>
            <w:pPr>
              <w:widowControl/>
              <w:jc w:val="center"/>
              <w:rPr>
                <w:rFonts w:hint="eastAsia" w:ascii="仿宋" w:hAnsi="仿宋" w:eastAsia="仿宋" w:cs="仿宋"/>
                <w:sz w:val="21"/>
                <w:szCs w:val="21"/>
              </w:rPr>
            </w:pPr>
            <w:r>
              <w:rPr>
                <w:rFonts w:hint="eastAsia" w:ascii="仿宋" w:hAnsi="仿宋" w:eastAsia="仿宋" w:cs="仿宋"/>
                <w:sz w:val="21"/>
                <w:szCs w:val="21"/>
              </w:rPr>
              <w:drawing>
                <wp:inline distT="0" distB="0" distL="0" distR="0">
                  <wp:extent cx="2312670" cy="984250"/>
                  <wp:effectExtent l="0" t="0" r="0" b="6350"/>
                  <wp:docPr id="27" name="图片 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true" noChangeArrowheads="true"/>
                          </pic:cNvPicPr>
                        </pic:nvPicPr>
                        <pic:blipFill>
                          <a:blip r:embed="rId59" cstate="print">
                            <a:extLst>
                              <a:ext uri="{28A0092B-C50C-407E-A947-70E740481C1C}">
                                <a14:useLocalDpi xmlns:a14="http://schemas.microsoft.com/office/drawing/2010/main" val="false"/>
                              </a:ext>
                            </a:extLst>
                          </a:blip>
                          <a:srcRect/>
                          <a:stretch>
                            <a:fillRect/>
                          </a:stretch>
                        </pic:blipFill>
                        <pic:spPr>
                          <a:xfrm>
                            <a:off x="0" y="0"/>
                            <a:ext cx="2331548" cy="992273"/>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w:t>
            </w:r>
          </w:p>
        </w:tc>
        <w:tc>
          <w:tcPr>
            <w:tcW w:w="861"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通用设备制造业、专用设备制造业、汽车制造业</w:t>
            </w:r>
          </w:p>
        </w:tc>
        <w:tc>
          <w:tcPr>
            <w:tcW w:w="199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起重机械</w:t>
            </w:r>
          </w:p>
        </w:tc>
        <w:tc>
          <w:tcPr>
            <w:tcW w:w="1567"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1.高处作业与起重作业交叉。歪拉斜吊，工件摆动挤夹伤人。</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2.肢体进入吊物下，工件降落挤压伤害。</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3.在狭窄区域指挥吊运，误操作导致挤夹伤害。</w:t>
            </w:r>
          </w:p>
        </w:tc>
        <w:tc>
          <w:tcPr>
            <w:tcW w:w="2863"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1.使用道轨夹钳或档桩等刚性隔断装置，隔离高处干涉设备。</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2.各类需吊运的设备、物料、产品设置于起重设备覆盖范围。</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3.设置吊物支撑工装，并纳入作业文件。</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4.配备吊物下垫块调整的工具。</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5.设备布局、物流设置要考虑从业人员操作间距。</w:t>
            </w:r>
          </w:p>
        </w:tc>
        <w:tc>
          <w:tcPr>
            <w:tcW w:w="314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1.同一区域，存在不同类型、不同劳动队伍作业时，应制定专门的安全措施，签订安全生产协议。</w:t>
            </w:r>
          </w:p>
          <w:p>
            <w:pPr>
              <w:widowControl/>
              <w:jc w:val="left"/>
              <w:rPr>
                <w:rFonts w:hint="eastAsia" w:ascii="仿宋" w:hAnsi="仿宋" w:eastAsia="仿宋" w:cs="仿宋"/>
                <w:sz w:val="21"/>
                <w:szCs w:val="21"/>
              </w:rPr>
            </w:pPr>
            <w:r>
              <w:rPr>
                <w:rFonts w:hint="eastAsia" w:ascii="仿宋" w:hAnsi="仿宋" w:eastAsia="仿宋" w:cs="仿宋"/>
                <w:sz w:val="21"/>
                <w:szCs w:val="21"/>
              </w:rPr>
              <w:t>2.建立风险分级管控、隐患排查治理双重预防工作机制。</w:t>
            </w:r>
          </w:p>
          <w:p>
            <w:pPr>
              <w:widowControl/>
              <w:jc w:val="left"/>
              <w:rPr>
                <w:rFonts w:hint="eastAsia" w:ascii="仿宋" w:hAnsi="仿宋" w:eastAsia="仿宋" w:cs="仿宋"/>
                <w:sz w:val="21"/>
                <w:szCs w:val="21"/>
              </w:rPr>
            </w:pPr>
            <w:r>
              <w:rPr>
                <w:rFonts w:hint="eastAsia" w:ascii="仿宋" w:hAnsi="仿宋" w:eastAsia="仿宋" w:cs="仿宋"/>
                <w:sz w:val="21"/>
                <w:szCs w:val="21"/>
              </w:rPr>
              <w:t>3.禁止歪拉斜吊。</w:t>
            </w:r>
          </w:p>
          <w:p>
            <w:pPr>
              <w:widowControl/>
              <w:jc w:val="left"/>
              <w:rPr>
                <w:rFonts w:hint="eastAsia" w:ascii="仿宋" w:hAnsi="仿宋" w:eastAsia="仿宋" w:cs="仿宋"/>
                <w:sz w:val="21"/>
                <w:szCs w:val="21"/>
              </w:rPr>
            </w:pPr>
            <w:r>
              <w:rPr>
                <w:rFonts w:hint="eastAsia" w:ascii="仿宋" w:hAnsi="仿宋" w:eastAsia="仿宋" w:cs="仿宋"/>
                <w:sz w:val="21"/>
                <w:szCs w:val="21"/>
              </w:rPr>
              <w:t>4.禁止肢体进入吊物下作业。</w:t>
            </w:r>
          </w:p>
          <w:p>
            <w:pPr>
              <w:widowControl/>
              <w:jc w:val="left"/>
              <w:rPr>
                <w:rFonts w:hint="eastAsia" w:ascii="仿宋" w:hAnsi="仿宋" w:eastAsia="仿宋" w:cs="仿宋"/>
                <w:sz w:val="21"/>
                <w:szCs w:val="21"/>
              </w:rPr>
            </w:pPr>
            <w:r>
              <w:rPr>
                <w:rFonts w:hint="eastAsia" w:ascii="仿宋" w:hAnsi="仿宋" w:eastAsia="仿宋" w:cs="仿宋"/>
                <w:sz w:val="21"/>
                <w:szCs w:val="21"/>
              </w:rPr>
              <w:t>5.禁止在可能的挤夹点指挥或操作起重设备。</w:t>
            </w:r>
          </w:p>
        </w:tc>
        <w:tc>
          <w:tcPr>
            <w:tcW w:w="3919" w:type="dxa"/>
            <w:shd w:val="clear" w:color="auto" w:fill="auto"/>
            <w:vAlign w:val="center"/>
          </w:tcPr>
          <w:p>
            <w:pPr>
              <w:widowControl/>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w:t>
            </w:r>
          </w:p>
        </w:tc>
        <w:tc>
          <w:tcPr>
            <w:tcW w:w="861"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通用设备制造业、专用设备制造业、汽车制造业</w:t>
            </w:r>
          </w:p>
        </w:tc>
        <w:tc>
          <w:tcPr>
            <w:tcW w:w="199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机加工设备：车、镗、铣、钻机床、剪板机、冲床等</w:t>
            </w:r>
          </w:p>
        </w:tc>
        <w:tc>
          <w:tcPr>
            <w:tcW w:w="1567"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1.相对运动的机床刀具、带锐角的加工件，缺少防止意外接触的措施。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2.机床加工产生带状切屑。</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3.剪板机械等剪切点无控制人员接触的防护装置。</w:t>
            </w:r>
          </w:p>
        </w:tc>
        <w:tc>
          <w:tcPr>
            <w:tcW w:w="2863"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1.运动部件和传动装置应设置防护罩，防护罩安全距离符合《机械安全防止上下肢触及危险区的安全距离》（GB23821-2022）的相关规定，并确保有效。</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2.合理设置切削参数与断屑槽。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3.剪切口设置防止手指进入的防护栏。</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4.转动部位的连接销、刀排的突出高度应符合标准。</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5.安装急停按钮。</w:t>
            </w:r>
          </w:p>
        </w:tc>
        <w:tc>
          <w:tcPr>
            <w:tcW w:w="314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1.停机检查、测量、搬运工件或保养设备。</w:t>
            </w:r>
          </w:p>
          <w:p>
            <w:pPr>
              <w:widowControl/>
              <w:jc w:val="left"/>
              <w:rPr>
                <w:rFonts w:hint="eastAsia" w:ascii="仿宋" w:hAnsi="仿宋" w:eastAsia="仿宋" w:cs="仿宋"/>
                <w:sz w:val="21"/>
                <w:szCs w:val="21"/>
              </w:rPr>
            </w:pPr>
            <w:r>
              <w:rPr>
                <w:rFonts w:hint="eastAsia" w:ascii="仿宋" w:hAnsi="仿宋" w:eastAsia="仿宋" w:cs="仿宋"/>
                <w:sz w:val="21"/>
                <w:szCs w:val="21"/>
              </w:rPr>
              <w:t>2.安全技术操作规程中明确衣服袖口、工作帽等防护用品穿戴，并开展针对性培训。</w:t>
            </w:r>
          </w:p>
          <w:p>
            <w:pPr>
              <w:widowControl/>
              <w:jc w:val="left"/>
              <w:rPr>
                <w:rFonts w:hint="eastAsia" w:ascii="仿宋" w:hAnsi="仿宋" w:eastAsia="仿宋" w:cs="仿宋"/>
                <w:sz w:val="21"/>
                <w:szCs w:val="21"/>
              </w:rPr>
            </w:pPr>
            <w:r>
              <w:rPr>
                <w:rFonts w:hint="eastAsia" w:ascii="仿宋" w:hAnsi="仿宋" w:eastAsia="仿宋" w:cs="仿宋"/>
                <w:sz w:val="21"/>
                <w:szCs w:val="21"/>
              </w:rPr>
              <w:t>3.使用安全钩，随时调整切削导入排屑箱；禁止用手清理，禁止踩踏。</w:t>
            </w:r>
          </w:p>
          <w:p>
            <w:pPr>
              <w:widowControl/>
              <w:jc w:val="left"/>
              <w:rPr>
                <w:rFonts w:hint="eastAsia" w:ascii="仿宋" w:hAnsi="仿宋" w:eastAsia="仿宋" w:cs="仿宋"/>
                <w:sz w:val="21"/>
                <w:szCs w:val="21"/>
              </w:rPr>
            </w:pPr>
            <w:r>
              <w:rPr>
                <w:rFonts w:hint="eastAsia" w:ascii="仿宋" w:hAnsi="仿宋" w:eastAsia="仿宋" w:cs="仿宋"/>
                <w:sz w:val="21"/>
                <w:szCs w:val="21"/>
              </w:rPr>
              <w:t>4.剪切点有防护措施时，肢体与剪切口应大于200毫米。</w:t>
            </w:r>
          </w:p>
          <w:p>
            <w:pPr>
              <w:widowControl/>
              <w:jc w:val="left"/>
              <w:rPr>
                <w:rFonts w:hint="eastAsia" w:ascii="仿宋" w:hAnsi="仿宋" w:eastAsia="仿宋" w:cs="仿宋"/>
                <w:sz w:val="21"/>
                <w:szCs w:val="21"/>
              </w:rPr>
            </w:pPr>
            <w:r>
              <w:rPr>
                <w:rFonts w:hint="eastAsia" w:ascii="仿宋" w:hAnsi="仿宋" w:eastAsia="仿宋" w:cs="仿宋"/>
                <w:sz w:val="21"/>
                <w:szCs w:val="21"/>
              </w:rPr>
              <w:t>5.剪切点没有防护措施时，应在一米外止步。</w:t>
            </w:r>
          </w:p>
          <w:p>
            <w:pPr>
              <w:widowControl/>
              <w:jc w:val="left"/>
              <w:rPr>
                <w:rFonts w:hint="eastAsia" w:ascii="仿宋" w:hAnsi="仿宋" w:eastAsia="仿宋" w:cs="仿宋"/>
                <w:sz w:val="21"/>
                <w:szCs w:val="21"/>
              </w:rPr>
            </w:pPr>
            <w:r>
              <w:rPr>
                <w:rFonts w:hint="eastAsia" w:ascii="仿宋" w:hAnsi="仿宋" w:eastAsia="仿宋" w:cs="仿宋"/>
                <w:sz w:val="21"/>
                <w:szCs w:val="21"/>
              </w:rPr>
              <w:t>6.明确划定操作区。</w:t>
            </w:r>
          </w:p>
          <w:p>
            <w:pPr>
              <w:widowControl/>
              <w:jc w:val="left"/>
              <w:rPr>
                <w:rFonts w:hint="eastAsia" w:ascii="仿宋" w:hAnsi="仿宋" w:eastAsia="仿宋" w:cs="仿宋"/>
                <w:sz w:val="21"/>
                <w:szCs w:val="21"/>
              </w:rPr>
            </w:pPr>
            <w:r>
              <w:rPr>
                <w:rFonts w:hint="eastAsia" w:ascii="仿宋" w:hAnsi="仿宋" w:eastAsia="仿宋" w:cs="仿宋"/>
                <w:sz w:val="21"/>
                <w:szCs w:val="21"/>
              </w:rPr>
              <w:t>7.设备开机前，要对设备进行检查，开车试运行，不带病运行设备。</w:t>
            </w:r>
          </w:p>
        </w:tc>
        <w:tc>
          <w:tcPr>
            <w:tcW w:w="3919" w:type="dxa"/>
            <w:shd w:val="clear" w:color="auto" w:fill="auto"/>
            <w:vAlign w:val="center"/>
          </w:tcPr>
          <w:p>
            <w:pPr>
              <w:widowControl/>
              <w:jc w:val="center"/>
              <w:rPr>
                <w:rFonts w:hint="eastAsia" w:ascii="仿宋" w:hAnsi="仿宋" w:eastAsia="仿宋" w:cs="仿宋"/>
                <w:sz w:val="21"/>
                <w:szCs w:val="21"/>
              </w:rPr>
            </w:pPr>
            <w:r>
              <w:rPr>
                <w:rFonts w:hint="eastAsia" w:ascii="仿宋" w:hAnsi="仿宋" w:eastAsia="仿宋" w:cs="仿宋"/>
                <w:sz w:val="21"/>
                <w:szCs w:val="21"/>
              </w:rPr>
              <w:drawing>
                <wp:inline distT="0" distB="0" distL="0" distR="0">
                  <wp:extent cx="2215515" cy="2213610"/>
                  <wp:effectExtent l="0" t="0" r="0" b="0"/>
                  <wp:docPr id="26" name="图片 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true" noChangeArrowheads="true"/>
                          </pic:cNvPicPr>
                        </pic:nvPicPr>
                        <pic:blipFill>
                          <a:blip r:embed="rId60"/>
                          <a:srcRect/>
                          <a:stretch>
                            <a:fillRect/>
                          </a:stretch>
                        </pic:blipFill>
                        <pic:spPr>
                          <a:xfrm>
                            <a:off x="0" y="0"/>
                            <a:ext cx="2255958" cy="2253461"/>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w:t>
            </w:r>
          </w:p>
        </w:tc>
        <w:tc>
          <w:tcPr>
            <w:tcW w:w="861"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通用设备制造业、专用设备制造业、汽车制造业</w:t>
            </w:r>
          </w:p>
        </w:tc>
        <w:tc>
          <w:tcPr>
            <w:tcW w:w="199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移动设备或有移动部件设备汽车吊、升降机、登高车立体仓库、机械手、自动化设备、起重机械刨床、机动车辆等。</w:t>
            </w:r>
          </w:p>
        </w:tc>
        <w:tc>
          <w:tcPr>
            <w:tcW w:w="1567"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1.设备运动部件轨迹与人员活动交叉。</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2.两个物体存在相对运动，交叉错位间距小于500毫米。</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3.在可移动的车辆之间、移动机械与物体之间、移动物体之间等间距可能产生变化的狭小空间内穿行、作业。</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4.在未熄火的车辆间穿行。</w:t>
            </w:r>
          </w:p>
        </w:tc>
        <w:tc>
          <w:tcPr>
            <w:tcW w:w="2863"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1.固定设备的移动部位，要有警示标志。</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2.动力设施运行的轨迹内应有隔离人员入内的有效保护措施。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3.保持相对运动物件间距应大于500毫米，否则应隔离。</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4.消除、隔离类似挤夹点。</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5.设置下车熄火拔钥匙警示，下车即熄火。</w:t>
            </w:r>
          </w:p>
        </w:tc>
        <w:tc>
          <w:tcPr>
            <w:tcW w:w="314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1.建立人员进入隔离区域的审批制度或能量控制与动力上锁制度。</w:t>
            </w:r>
          </w:p>
          <w:p>
            <w:pPr>
              <w:widowControl/>
              <w:jc w:val="left"/>
              <w:rPr>
                <w:rFonts w:hint="eastAsia" w:ascii="仿宋" w:hAnsi="仿宋" w:eastAsia="仿宋" w:cs="仿宋"/>
                <w:sz w:val="21"/>
                <w:szCs w:val="21"/>
              </w:rPr>
            </w:pPr>
            <w:r>
              <w:rPr>
                <w:rFonts w:hint="eastAsia" w:ascii="仿宋" w:hAnsi="仿宋" w:eastAsia="仿宋" w:cs="仿宋"/>
                <w:sz w:val="21"/>
                <w:szCs w:val="21"/>
              </w:rPr>
              <w:t>2.岗位点检控风险，定期检查除隐患。</w:t>
            </w:r>
          </w:p>
          <w:p>
            <w:pPr>
              <w:widowControl/>
              <w:jc w:val="left"/>
              <w:rPr>
                <w:rFonts w:hint="eastAsia" w:ascii="仿宋" w:hAnsi="仿宋" w:eastAsia="仿宋" w:cs="仿宋"/>
                <w:sz w:val="21"/>
                <w:szCs w:val="21"/>
              </w:rPr>
            </w:pPr>
            <w:r>
              <w:rPr>
                <w:rFonts w:hint="eastAsia" w:ascii="仿宋" w:hAnsi="仿宋" w:eastAsia="仿宋" w:cs="仿宋"/>
                <w:sz w:val="21"/>
                <w:szCs w:val="21"/>
              </w:rPr>
              <w:t>3.禁止在类似挤夹点作业。</w:t>
            </w:r>
          </w:p>
          <w:p>
            <w:pPr>
              <w:widowControl/>
              <w:jc w:val="left"/>
              <w:rPr>
                <w:rFonts w:hint="eastAsia" w:ascii="仿宋" w:hAnsi="仿宋" w:eastAsia="仿宋" w:cs="仿宋"/>
                <w:sz w:val="21"/>
                <w:szCs w:val="21"/>
              </w:rPr>
            </w:pPr>
            <w:r>
              <w:rPr>
                <w:rFonts w:hint="eastAsia" w:ascii="仿宋" w:hAnsi="仿宋" w:eastAsia="仿宋" w:cs="仿宋"/>
                <w:sz w:val="21"/>
                <w:szCs w:val="21"/>
              </w:rPr>
              <w:t>4.定点停车，下车拔钥匙、拉手刹。</w:t>
            </w:r>
          </w:p>
        </w:tc>
        <w:tc>
          <w:tcPr>
            <w:tcW w:w="3919" w:type="dxa"/>
            <w:shd w:val="clear" w:color="auto" w:fill="auto"/>
            <w:vAlign w:val="center"/>
          </w:tcPr>
          <w:p>
            <w:pPr>
              <w:widowControl/>
              <w:jc w:val="center"/>
              <w:rPr>
                <w:rFonts w:hint="eastAsia" w:ascii="仿宋" w:hAnsi="仿宋" w:eastAsia="仿宋" w:cs="仿宋"/>
                <w:sz w:val="21"/>
                <w:szCs w:val="21"/>
              </w:rPr>
            </w:pPr>
            <w:r>
              <w:rPr>
                <w:rFonts w:hint="eastAsia" w:ascii="仿宋" w:hAnsi="仿宋" w:eastAsia="仿宋" w:cs="仿宋"/>
                <w:sz w:val="21"/>
                <w:szCs w:val="21"/>
              </w:rPr>
              <w:drawing>
                <wp:inline distT="0" distB="0" distL="0" distR="0">
                  <wp:extent cx="2196465" cy="2207895"/>
                  <wp:effectExtent l="0" t="0" r="0" b="1905"/>
                  <wp:docPr id="25" name="图片 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true" noChangeArrowheads="true"/>
                          </pic:cNvPicPr>
                        </pic:nvPicPr>
                        <pic:blipFill>
                          <a:blip r:embed="rId61"/>
                          <a:srcRect/>
                          <a:stretch>
                            <a:fillRect/>
                          </a:stretch>
                        </pic:blipFill>
                        <pic:spPr>
                          <a:xfrm>
                            <a:off x="0" y="0"/>
                            <a:ext cx="2215294" cy="2227182"/>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w:t>
            </w:r>
          </w:p>
        </w:tc>
        <w:tc>
          <w:tcPr>
            <w:tcW w:w="861"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通用设备制造业、专用设备制造业、汽车制造业</w:t>
            </w:r>
          </w:p>
        </w:tc>
        <w:tc>
          <w:tcPr>
            <w:tcW w:w="199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装配、检维修</w:t>
            </w:r>
          </w:p>
        </w:tc>
        <w:tc>
          <w:tcPr>
            <w:tcW w:w="1567"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1.未停电进行检维修或保养设备。</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2.一经送电即可产生运动的电气设施。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3.已连接动力源的链轮、皮带轮、齿轮咬合等卷入点未设置隔离措施。</w:t>
            </w:r>
          </w:p>
        </w:tc>
        <w:tc>
          <w:tcPr>
            <w:tcW w:w="2863"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1.采取措施将外来人员、周围影响检维修作业的设备、作业隔离。</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2.电气设备除配电开关外，在作业工位至少有一级开关。</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3.链轮、皮带轮、齿轮咬合等卷入点，在连接动力源前设置隔离措施并警示。</w:t>
            </w:r>
          </w:p>
        </w:tc>
        <w:tc>
          <w:tcPr>
            <w:tcW w:w="314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1.严格落实检维修安全管理制度，明确危险能量辨识与控制措施。</w:t>
            </w:r>
          </w:p>
          <w:p>
            <w:pPr>
              <w:widowControl/>
              <w:jc w:val="left"/>
              <w:rPr>
                <w:rFonts w:hint="eastAsia" w:ascii="仿宋" w:hAnsi="仿宋" w:eastAsia="仿宋" w:cs="仿宋"/>
                <w:sz w:val="21"/>
                <w:szCs w:val="21"/>
              </w:rPr>
            </w:pPr>
            <w:r>
              <w:rPr>
                <w:rFonts w:hint="eastAsia" w:ascii="仿宋" w:hAnsi="仿宋" w:eastAsia="仿宋" w:cs="仿宋"/>
                <w:sz w:val="21"/>
                <w:szCs w:val="21"/>
              </w:rPr>
              <w:t>2.纳入重点风险管控清单，落实风险分级管控，定期排查隐患。</w:t>
            </w:r>
          </w:p>
          <w:p>
            <w:pPr>
              <w:widowControl/>
              <w:jc w:val="left"/>
              <w:rPr>
                <w:rFonts w:hint="eastAsia" w:ascii="仿宋" w:hAnsi="仿宋" w:eastAsia="仿宋" w:cs="仿宋"/>
                <w:sz w:val="21"/>
                <w:szCs w:val="21"/>
              </w:rPr>
            </w:pPr>
            <w:r>
              <w:rPr>
                <w:rFonts w:hint="eastAsia" w:ascii="仿宋" w:hAnsi="仿宋" w:eastAsia="仿宋" w:cs="仿宋"/>
                <w:sz w:val="21"/>
                <w:szCs w:val="21"/>
              </w:rPr>
              <w:t>3.岗位点检控风险，定期检查除隐患。</w:t>
            </w:r>
          </w:p>
        </w:tc>
        <w:tc>
          <w:tcPr>
            <w:tcW w:w="3919" w:type="dxa"/>
            <w:shd w:val="clear" w:color="auto" w:fill="auto"/>
            <w:vAlign w:val="center"/>
          </w:tcPr>
          <w:p>
            <w:pPr>
              <w:widowControl/>
              <w:jc w:val="center"/>
              <w:rPr>
                <w:rFonts w:hint="eastAsia" w:ascii="仿宋" w:hAnsi="仿宋" w:eastAsia="仿宋" w:cs="仿宋"/>
                <w:sz w:val="21"/>
                <w:szCs w:val="21"/>
              </w:rPr>
            </w:pPr>
            <w:r>
              <w:rPr>
                <w:rFonts w:hint="eastAsia" w:ascii="仿宋" w:hAnsi="仿宋" w:eastAsia="仿宋" w:cs="仿宋"/>
                <w:sz w:val="21"/>
                <w:szCs w:val="21"/>
              </w:rPr>
              <w:drawing>
                <wp:inline distT="0" distB="0" distL="0" distR="0">
                  <wp:extent cx="2235835" cy="1819910"/>
                  <wp:effectExtent l="0" t="0" r="0" b="8890"/>
                  <wp:docPr id="24" name="图片 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true" noChangeArrowheads="true"/>
                          </pic:cNvPicPr>
                        </pic:nvPicPr>
                        <pic:blipFill>
                          <a:blip r:embed="rId62"/>
                          <a:srcRect/>
                          <a:stretch>
                            <a:fillRect/>
                          </a:stretch>
                        </pic:blipFill>
                        <pic:spPr>
                          <a:xfrm>
                            <a:off x="0" y="0"/>
                            <a:ext cx="2262013" cy="1841828"/>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6</w:t>
            </w:r>
          </w:p>
        </w:tc>
        <w:tc>
          <w:tcPr>
            <w:tcW w:w="861"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通用设备制造业、专用设备制造业、汽车制造业</w:t>
            </w:r>
          </w:p>
        </w:tc>
        <w:tc>
          <w:tcPr>
            <w:tcW w:w="199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机器人、机械手</w:t>
            </w:r>
          </w:p>
        </w:tc>
        <w:tc>
          <w:tcPr>
            <w:tcW w:w="1567"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人员违规进入机器人、机械手作业区，被碰伤或挤伤等。</w:t>
            </w:r>
          </w:p>
        </w:tc>
        <w:tc>
          <w:tcPr>
            <w:tcW w:w="2863"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1.在机器人、机械手作业区安装防护栏，作业期间人员不能进入。</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2.设置安全门、检修门和安装联锁保护开关，人员一旦进入机器人、机械手停止作业。</w:t>
            </w:r>
          </w:p>
        </w:tc>
        <w:tc>
          <w:tcPr>
            <w:tcW w:w="314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1.制定检维修操作规程，明确人员进入该区域时需停机断电，并开展教育培训。</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2.设置“设备运转、严禁入内”安全警示标识。</w:t>
            </w:r>
          </w:p>
        </w:tc>
        <w:tc>
          <w:tcPr>
            <w:tcW w:w="3919"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35" o:spt="75" alt="" type="#_x0000_t75" style="height:122.35pt;width:133.2pt;" o:ole="t" filled="f" o:preferrelative="t" stroked="f" coordsize="21600,21600">
                  <v:path/>
                  <v:fill on="f" focussize="0,0"/>
                  <v:stroke on="f"/>
                  <v:imagedata r:id="rId64" o:title=""/>
                  <o:lock v:ext="edit" aspectratio="t"/>
                  <w10:wrap type="none"/>
                  <w10:anchorlock/>
                </v:shape>
                <o:OLEObject Type="Embed" ProgID="PBrush" ShapeID="_x0000_i1035" DrawAspect="Content" ObjectID="_1468075735" r:id="rId63">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tcBorders>
              <w:top w:val="nil"/>
              <w:left w:val="single" w:color="auto" w:sz="4" w:space="0"/>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7</w:t>
            </w:r>
          </w:p>
        </w:tc>
        <w:tc>
          <w:tcPr>
            <w:tcW w:w="861" w:type="dxa"/>
            <w:tcBorders>
              <w:top w:val="nil"/>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通用设备制造业、专用设备制造业、汽车制造业</w:t>
            </w:r>
          </w:p>
        </w:tc>
        <w:tc>
          <w:tcPr>
            <w:tcW w:w="1996" w:type="dxa"/>
            <w:tcBorders>
              <w:top w:val="nil"/>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装配线</w:t>
            </w:r>
          </w:p>
        </w:tc>
        <w:tc>
          <w:tcPr>
            <w:tcW w:w="1567" w:type="dxa"/>
            <w:tcBorders>
              <w:top w:val="nil"/>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1.设备防护设施不全导致磕碰或挤伤。</w:t>
            </w:r>
          </w:p>
          <w:p>
            <w:pPr>
              <w:widowControl/>
              <w:jc w:val="left"/>
              <w:rPr>
                <w:rFonts w:hint="eastAsia" w:ascii="仿宋" w:hAnsi="仿宋" w:eastAsia="仿宋" w:cs="仿宋"/>
                <w:sz w:val="21"/>
                <w:szCs w:val="21"/>
              </w:rPr>
            </w:pPr>
            <w:r>
              <w:rPr>
                <w:rFonts w:hint="eastAsia" w:ascii="仿宋" w:hAnsi="仿宋" w:eastAsia="仿宋" w:cs="仿宋"/>
                <w:sz w:val="21"/>
                <w:szCs w:val="21"/>
              </w:rPr>
              <w:t>2.操作人员检维修或排除故障进入危险区域，安全防护设施不全导致磕碰或挤伤。</w:t>
            </w:r>
          </w:p>
        </w:tc>
        <w:tc>
          <w:tcPr>
            <w:tcW w:w="2863" w:type="dxa"/>
            <w:tcBorders>
              <w:top w:val="nil"/>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在开口处增加光栅保护，一旦检测到异物进入，自动停止设备运行。</w:t>
            </w:r>
          </w:p>
        </w:tc>
        <w:tc>
          <w:tcPr>
            <w:tcW w:w="3149" w:type="dxa"/>
            <w:tcBorders>
              <w:top w:val="nil"/>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1.设置安全警示线、警示标识。</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2.教育作业员工，检维修或日常检查该部位时，需停机。</w:t>
            </w:r>
          </w:p>
        </w:tc>
        <w:tc>
          <w:tcPr>
            <w:tcW w:w="3919"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36" o:spt="75" alt="" type="#_x0000_t75" style="height:142.75pt;width:132.75pt;" o:ole="t" filled="f" o:preferrelative="t" stroked="f" coordsize="21600,21600">
                  <v:path/>
                  <v:fill on="f" focussize="0,0"/>
                  <v:stroke on="f"/>
                  <v:imagedata r:id="rId66" o:title=""/>
                  <o:lock v:ext="edit" aspectratio="t"/>
                  <w10:wrap type="none"/>
                  <w10:anchorlock/>
                </v:shape>
                <o:OLEObject Type="Embed" ProgID="PBrush" ShapeID="_x0000_i1036" DrawAspect="Content" ObjectID="_1468075736" r:id="rId65">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tcBorders>
              <w:top w:val="nil"/>
              <w:left w:val="single" w:color="auto" w:sz="4" w:space="0"/>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8</w:t>
            </w:r>
          </w:p>
        </w:tc>
        <w:tc>
          <w:tcPr>
            <w:tcW w:w="861" w:type="dxa"/>
            <w:tcBorders>
              <w:top w:val="nil"/>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通用设备制造业、专用设备制造业、汽车制造业</w:t>
            </w:r>
          </w:p>
        </w:tc>
        <w:tc>
          <w:tcPr>
            <w:tcW w:w="1996" w:type="dxa"/>
            <w:tcBorders>
              <w:top w:val="nil"/>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板链线、辊道线等</w:t>
            </w:r>
          </w:p>
        </w:tc>
        <w:tc>
          <w:tcPr>
            <w:tcW w:w="1567" w:type="dxa"/>
            <w:tcBorders>
              <w:top w:val="nil"/>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1.设备防护设施不全导致卷入。</w:t>
            </w:r>
          </w:p>
          <w:p>
            <w:pPr>
              <w:widowControl/>
              <w:jc w:val="left"/>
              <w:rPr>
                <w:rFonts w:hint="eastAsia" w:ascii="仿宋" w:hAnsi="仿宋" w:eastAsia="仿宋" w:cs="仿宋"/>
                <w:sz w:val="21"/>
                <w:szCs w:val="21"/>
              </w:rPr>
            </w:pPr>
            <w:r>
              <w:rPr>
                <w:rFonts w:hint="eastAsia" w:ascii="仿宋" w:hAnsi="仿宋" w:eastAsia="仿宋" w:cs="仿宋"/>
                <w:sz w:val="21"/>
                <w:szCs w:val="21"/>
              </w:rPr>
              <w:t>2.操作人员进入危险区域，安全防护设施不全导致卷入。</w:t>
            </w:r>
          </w:p>
        </w:tc>
        <w:tc>
          <w:tcPr>
            <w:tcW w:w="2863" w:type="dxa"/>
            <w:tcBorders>
              <w:top w:val="nil"/>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1.在容易卷入部位安装光电保护装置，人员误入该部位，触发光电保护，设备停止。</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2.板链线安装急停按钮，出现紧急情况，能够第一时间停止设备。</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3.在两侧安装固定护栏，防止人员从侧面进入。</w:t>
            </w:r>
          </w:p>
        </w:tc>
        <w:tc>
          <w:tcPr>
            <w:tcW w:w="3149" w:type="dxa"/>
            <w:tcBorders>
              <w:top w:val="nil"/>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1.设置安全警示线、警示标识。</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2.开展教育培训，严禁进入该危险部位。</w:t>
            </w:r>
          </w:p>
        </w:tc>
        <w:tc>
          <w:tcPr>
            <w:tcW w:w="3919"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drawing>
                <wp:inline distT="0" distB="0" distL="0" distR="0">
                  <wp:extent cx="1979930" cy="1963420"/>
                  <wp:effectExtent l="0" t="0" r="1270" b="0"/>
                  <wp:docPr id="3"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true"/>
                          </pic:cNvPicPr>
                        </pic:nvPicPr>
                        <pic:blipFill>
                          <a:blip r:embed="rId67"/>
                          <a:stretch>
                            <a:fillRect/>
                          </a:stretch>
                        </pic:blipFill>
                        <pic:spPr>
                          <a:xfrm>
                            <a:off x="0" y="0"/>
                            <a:ext cx="1985780" cy="1968949"/>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9</w:t>
            </w:r>
          </w:p>
        </w:tc>
        <w:tc>
          <w:tcPr>
            <w:tcW w:w="86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通用设备制造业、专用设备制造业、汽车制造业</w:t>
            </w:r>
          </w:p>
        </w:tc>
        <w:tc>
          <w:tcPr>
            <w:tcW w:w="199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AGV、RGV等自动输送小车</w:t>
            </w:r>
          </w:p>
        </w:tc>
        <w:tc>
          <w:tcPr>
            <w:tcW w:w="1567"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1.自动输送小车无碰撞感应，容易发生碰撞事故。</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2.人员进入自动输送小车行进路线，被碰撞或挤伤等。</w:t>
            </w:r>
          </w:p>
        </w:tc>
        <w:tc>
          <w:tcPr>
            <w:tcW w:w="2863"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1.在自动小车上安装红外光电感应器，感应到异常物件或人员后能自动停止。</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2.在自动小车上安装声光报警装置，提醒人员及时避让。</w:t>
            </w:r>
          </w:p>
        </w:tc>
        <w:tc>
          <w:tcPr>
            <w:tcW w:w="3149" w:type="dxa"/>
            <w:shd w:val="clear" w:color="auto" w:fill="auto"/>
            <w:vAlign w:val="center"/>
          </w:tcPr>
          <w:p>
            <w:pPr>
              <w:jc w:val="left"/>
              <w:rPr>
                <w:rFonts w:hint="eastAsia" w:ascii="仿宋" w:hAnsi="仿宋" w:eastAsia="仿宋" w:cs="仿宋"/>
                <w:sz w:val="21"/>
                <w:szCs w:val="21"/>
              </w:rPr>
            </w:pPr>
            <w:r>
              <w:rPr>
                <w:rFonts w:hint="eastAsia" w:ascii="仿宋" w:hAnsi="仿宋" w:eastAsia="仿宋" w:cs="仿宋"/>
                <w:sz w:val="21"/>
                <w:szCs w:val="21"/>
              </w:rPr>
              <w:t>1.设置安全警示标识，禁止人员进入自动小车运行路线。</w:t>
            </w:r>
          </w:p>
          <w:p>
            <w:pPr>
              <w:jc w:val="left"/>
              <w:rPr>
                <w:rFonts w:hint="eastAsia" w:ascii="仿宋" w:hAnsi="仿宋" w:eastAsia="仿宋" w:cs="仿宋"/>
                <w:color w:val="000000"/>
                <w:sz w:val="21"/>
                <w:szCs w:val="21"/>
              </w:rPr>
            </w:pPr>
            <w:r>
              <w:rPr>
                <w:rFonts w:hint="eastAsia" w:ascii="仿宋" w:hAnsi="仿宋" w:eastAsia="仿宋" w:cs="仿宋"/>
                <w:sz w:val="21"/>
                <w:szCs w:val="21"/>
              </w:rPr>
              <w:t>2.开展安全警示教育，提高人员自我防护意识。</w:t>
            </w:r>
          </w:p>
        </w:tc>
        <w:tc>
          <w:tcPr>
            <w:tcW w:w="3919"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37" o:spt="75" alt="" type="#_x0000_t75" style="height:109.05pt;width:159pt;" o:ole="t" filled="f" o:preferrelative="t" stroked="f" coordsize="21600,21600">
                  <v:path/>
                  <v:fill on="f" focussize="0,0"/>
                  <v:stroke on="f"/>
                  <v:imagedata r:id="rId69" o:title=""/>
                  <o:lock v:ext="edit" aspectratio="t"/>
                  <w10:wrap type="none"/>
                  <w10:anchorlock/>
                </v:shape>
                <o:OLEObject Type="Embed" ProgID="PBrush" ShapeID="_x0000_i1037" DrawAspect="Content" ObjectID="_1468075737" r:id="rId68">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10</w:t>
            </w:r>
          </w:p>
        </w:tc>
        <w:tc>
          <w:tcPr>
            <w:tcW w:w="86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铸造及其他金属制品制造</w:t>
            </w:r>
          </w:p>
        </w:tc>
        <w:tc>
          <w:tcPr>
            <w:tcW w:w="199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高压造型机</w:t>
            </w:r>
          </w:p>
        </w:tc>
        <w:tc>
          <w:tcPr>
            <w:tcW w:w="1567"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合型区防护罩强度不够，开口处未与控制</w:t>
            </w:r>
          </w:p>
          <w:p>
            <w:pPr>
              <w:widowControl/>
              <w:jc w:val="left"/>
              <w:rPr>
                <w:rFonts w:hint="eastAsia" w:ascii="仿宋" w:hAnsi="仿宋" w:eastAsia="仿宋" w:cs="仿宋"/>
                <w:sz w:val="21"/>
                <w:szCs w:val="21"/>
              </w:rPr>
            </w:pPr>
            <w:r>
              <w:rPr>
                <w:rFonts w:hint="eastAsia" w:ascii="仿宋" w:hAnsi="仿宋" w:eastAsia="仿宋" w:cs="仿宋"/>
                <w:sz w:val="21"/>
                <w:szCs w:val="21"/>
              </w:rPr>
              <w:t>系统耦合。</w:t>
            </w:r>
          </w:p>
        </w:tc>
        <w:tc>
          <w:tcPr>
            <w:tcW w:w="2863"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1.应在合型区前设置移动式防护罩，其开口处应通过两个机械限位开关与控制系统相耦合。</w:t>
            </w:r>
          </w:p>
          <w:p>
            <w:pPr>
              <w:widowControl/>
              <w:jc w:val="left"/>
              <w:rPr>
                <w:rFonts w:hint="eastAsia" w:ascii="仿宋" w:hAnsi="仿宋" w:eastAsia="仿宋" w:cs="仿宋"/>
                <w:sz w:val="21"/>
                <w:szCs w:val="21"/>
              </w:rPr>
            </w:pPr>
            <w:r>
              <w:rPr>
                <w:rFonts w:hint="eastAsia" w:ascii="仿宋" w:hAnsi="仿宋" w:eastAsia="仿宋" w:cs="仿宋"/>
                <w:sz w:val="21"/>
                <w:szCs w:val="21"/>
              </w:rPr>
              <w:t>2.防护罩应有一定强度，并能抵抗溶液飞溅。</w:t>
            </w:r>
          </w:p>
        </w:tc>
        <w:tc>
          <w:tcPr>
            <w:tcW w:w="3149" w:type="dxa"/>
            <w:shd w:val="clear" w:color="auto" w:fill="auto"/>
            <w:vAlign w:val="center"/>
          </w:tcPr>
          <w:p>
            <w:pPr>
              <w:jc w:val="left"/>
              <w:rPr>
                <w:rFonts w:hint="eastAsia" w:ascii="仿宋" w:hAnsi="仿宋" w:eastAsia="仿宋" w:cs="仿宋"/>
                <w:color w:val="000000"/>
                <w:sz w:val="21"/>
                <w:szCs w:val="21"/>
              </w:rPr>
            </w:pPr>
            <w:r>
              <w:rPr>
                <w:rFonts w:hint="eastAsia" w:ascii="仿宋" w:hAnsi="仿宋" w:eastAsia="仿宋" w:cs="仿宋"/>
                <w:sz w:val="21"/>
                <w:szCs w:val="21"/>
              </w:rPr>
              <w:t>1.</w:t>
            </w:r>
            <w:r>
              <w:rPr>
                <w:rFonts w:hint="eastAsia" w:ascii="仿宋" w:hAnsi="仿宋" w:eastAsia="仿宋" w:cs="仿宋"/>
                <w:color w:val="000000"/>
                <w:sz w:val="21"/>
                <w:szCs w:val="21"/>
              </w:rPr>
              <w:t>设置“当心机械伤人”安全警示标志。</w:t>
            </w:r>
          </w:p>
          <w:p>
            <w:pPr>
              <w:jc w:val="left"/>
              <w:rPr>
                <w:rFonts w:hint="eastAsia" w:ascii="仿宋" w:hAnsi="仿宋" w:eastAsia="仿宋" w:cs="仿宋"/>
                <w:color w:val="000000"/>
                <w:sz w:val="21"/>
                <w:szCs w:val="21"/>
              </w:rPr>
            </w:pPr>
            <w:r>
              <w:rPr>
                <w:rFonts w:hint="eastAsia" w:ascii="仿宋" w:hAnsi="仿宋" w:eastAsia="仿宋" w:cs="仿宋"/>
                <w:color w:val="000000"/>
                <w:sz w:val="21"/>
                <w:szCs w:val="21"/>
              </w:rPr>
              <w:t>2.对岗位操作特别注意事项进行现场公示。</w:t>
            </w:r>
          </w:p>
          <w:p>
            <w:pPr>
              <w:jc w:val="left"/>
              <w:rPr>
                <w:rFonts w:hint="eastAsia" w:ascii="仿宋" w:hAnsi="仿宋" w:eastAsia="仿宋" w:cs="仿宋"/>
                <w:color w:val="000000"/>
                <w:sz w:val="21"/>
                <w:szCs w:val="21"/>
              </w:rPr>
            </w:pPr>
            <w:r>
              <w:rPr>
                <w:rFonts w:hint="eastAsia" w:ascii="仿宋" w:hAnsi="仿宋" w:eastAsia="仿宋" w:cs="仿宋"/>
                <w:color w:val="000000"/>
                <w:sz w:val="21"/>
                <w:szCs w:val="21"/>
              </w:rPr>
              <w:t>3.配备个体防护用品。</w:t>
            </w:r>
          </w:p>
        </w:tc>
        <w:tc>
          <w:tcPr>
            <w:tcW w:w="3919" w:type="dxa"/>
            <w:shd w:val="clear" w:color="auto" w:fill="auto"/>
            <w:vAlign w:val="center"/>
          </w:tcPr>
          <w:p>
            <w:pPr>
              <w:widowControl/>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11</w:t>
            </w:r>
          </w:p>
        </w:tc>
        <w:tc>
          <w:tcPr>
            <w:tcW w:w="86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通用设备制造业、专用设备制造业、汽车制造业</w:t>
            </w:r>
          </w:p>
        </w:tc>
        <w:tc>
          <w:tcPr>
            <w:tcW w:w="199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机械和设备检维修</w:t>
            </w:r>
          </w:p>
        </w:tc>
        <w:tc>
          <w:tcPr>
            <w:tcW w:w="1567"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1.误操作电、汽源产生误转动。</w:t>
            </w:r>
          </w:p>
          <w:p>
            <w:pPr>
              <w:widowControl/>
              <w:jc w:val="left"/>
              <w:rPr>
                <w:rFonts w:hint="eastAsia" w:ascii="仿宋" w:hAnsi="仿宋" w:eastAsia="仿宋" w:cs="仿宋"/>
                <w:sz w:val="21"/>
                <w:szCs w:val="21"/>
              </w:rPr>
            </w:pPr>
            <w:r>
              <w:rPr>
                <w:rFonts w:hint="eastAsia" w:ascii="仿宋" w:hAnsi="仿宋" w:eastAsia="仿宋" w:cs="仿宋"/>
                <w:sz w:val="21"/>
                <w:szCs w:val="21"/>
              </w:rPr>
              <w:t>2.设备（或备件）较大（重）时，安全措施不当。</w:t>
            </w:r>
          </w:p>
        </w:tc>
        <w:tc>
          <w:tcPr>
            <w:tcW w:w="2863"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修理带电（汽）设备时，要同有关人员和班组联系，切断电（汽）源，并在开关箱上挂“禁止合闸、有人工作”的标示牌。</w:t>
            </w:r>
          </w:p>
        </w:tc>
        <w:tc>
          <w:tcPr>
            <w:tcW w:w="3149" w:type="dxa"/>
            <w:shd w:val="clear" w:color="auto" w:fill="auto"/>
            <w:vAlign w:val="center"/>
          </w:tcPr>
          <w:p>
            <w:pPr>
              <w:jc w:val="left"/>
              <w:rPr>
                <w:rFonts w:hint="eastAsia" w:ascii="仿宋" w:hAnsi="仿宋" w:eastAsia="仿宋" w:cs="仿宋"/>
                <w:sz w:val="21"/>
                <w:szCs w:val="21"/>
              </w:rPr>
            </w:pPr>
            <w:r>
              <w:rPr>
                <w:rFonts w:hint="eastAsia" w:ascii="仿宋" w:hAnsi="仿宋" w:eastAsia="仿宋" w:cs="仿宋"/>
                <w:sz w:val="21"/>
                <w:szCs w:val="21"/>
              </w:rPr>
              <w:t>1.作业项目负责人应落实该项作业的各项安全措施和办理作业许可证及审批；对于危险性特大的作业，应与作业区域安全负责人一起进行安全评估，制定安全作业方案。</w:t>
            </w:r>
          </w:p>
          <w:p>
            <w:pPr>
              <w:jc w:val="left"/>
              <w:rPr>
                <w:rFonts w:hint="eastAsia" w:ascii="仿宋" w:hAnsi="仿宋" w:eastAsia="仿宋" w:cs="仿宋"/>
                <w:sz w:val="21"/>
                <w:szCs w:val="21"/>
              </w:rPr>
            </w:pPr>
            <w:r>
              <w:rPr>
                <w:rFonts w:hint="eastAsia" w:ascii="仿宋" w:hAnsi="仿宋" w:eastAsia="仿宋" w:cs="仿宋"/>
                <w:sz w:val="21"/>
                <w:szCs w:val="21"/>
              </w:rPr>
              <w:t>2.拆卸的零、部件要分区摆放，善加保护，重要部位或部件要派专人值班看守。</w:t>
            </w:r>
          </w:p>
        </w:tc>
        <w:tc>
          <w:tcPr>
            <w:tcW w:w="3919" w:type="dxa"/>
            <w:shd w:val="clear" w:color="auto" w:fill="auto"/>
            <w:vAlign w:val="center"/>
          </w:tcPr>
          <w:p>
            <w:pPr>
              <w:widowControl/>
              <w:jc w:val="center"/>
              <w:rPr>
                <w:rFonts w:hint="eastAsia" w:ascii="仿宋" w:hAnsi="仿宋" w:eastAsia="仿宋" w:cs="仿宋"/>
                <w:sz w:val="21"/>
                <w:szCs w:val="21"/>
              </w:rPr>
            </w:pPr>
            <w:r>
              <w:rPr>
                <w:rFonts w:hint="eastAsia" w:ascii="仿宋" w:hAnsi="仿宋" w:eastAsia="仿宋" w:cs="仿宋"/>
                <w:sz w:val="21"/>
                <w:szCs w:val="21"/>
              </w:rPr>
              <w:drawing>
                <wp:inline distT="0" distB="0" distL="0" distR="0">
                  <wp:extent cx="2067560" cy="2067560"/>
                  <wp:effectExtent l="0" t="0" r="8890" b="8890"/>
                  <wp:docPr id="23" name="图片 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true" noChangeArrowheads="true"/>
                          </pic:cNvPicPr>
                        </pic:nvPicPr>
                        <pic:blipFill>
                          <a:blip r:embed="rId70">
                            <a:extLst>
                              <a:ext uri="{28A0092B-C50C-407E-A947-70E740481C1C}">
                                <a14:useLocalDpi xmlns:a14="http://schemas.microsoft.com/office/drawing/2010/main" val="false"/>
                              </a:ext>
                            </a:extLst>
                          </a:blip>
                          <a:srcRect/>
                          <a:stretch>
                            <a:fillRect/>
                          </a:stretch>
                        </pic:blipFill>
                        <pic:spPr>
                          <a:xfrm>
                            <a:off x="0" y="0"/>
                            <a:ext cx="2073498" cy="2073498"/>
                          </a:xfrm>
                          <a:prstGeom prst="rect">
                            <a:avLst/>
                          </a:prstGeom>
                          <a:noFill/>
                          <a:ln>
                            <a:noFill/>
                          </a:ln>
                        </pic:spPr>
                      </pic:pic>
                    </a:graphicData>
                  </a:graphic>
                </wp:inline>
              </w:drawing>
            </w:r>
          </w:p>
        </w:tc>
      </w:tr>
    </w:tbl>
    <w:p>
      <w:pPr>
        <w:rPr>
          <w:rFonts w:ascii="宋体" w:hAnsi="宋体" w:eastAsia="宋体"/>
          <w:sz w:val="28"/>
          <w:szCs w:val="32"/>
        </w:rPr>
      </w:pPr>
    </w:p>
    <w:p>
      <w:pPr>
        <w:rPr>
          <w:rFonts w:ascii="宋体" w:hAnsi="宋体" w:eastAsia="宋体"/>
          <w:sz w:val="28"/>
          <w:szCs w:val="32"/>
        </w:rPr>
      </w:pPr>
      <w:r>
        <w:rPr>
          <w:rFonts w:ascii="宋体" w:hAnsi="宋体" w:eastAsia="宋体"/>
          <w:sz w:val="28"/>
          <w:szCs w:val="32"/>
        </w:rPr>
        <w:br w:type="page"/>
      </w:r>
    </w:p>
    <w:p>
      <w:pPr>
        <w:rPr>
          <w:rFonts w:ascii="宋体" w:hAnsi="宋体" w:eastAsia="宋体"/>
          <w:sz w:val="28"/>
          <w:szCs w:val="32"/>
        </w:rPr>
      </w:pPr>
      <w:r>
        <w:rPr>
          <w:rFonts w:hint="eastAsia" w:ascii="楷体_GB2312" w:hAnsi="楷体_GB2312" w:eastAsia="楷体_GB2312" w:cs="楷体_GB2312"/>
          <w:sz w:val="28"/>
          <w:szCs w:val="32"/>
        </w:rPr>
        <w:t>6.轻工行业典型机械伤害</w:t>
      </w:r>
      <w:r>
        <w:rPr>
          <w:rFonts w:hint="eastAsia" w:ascii="楷体_GB2312" w:hAnsi="楷体_GB2312" w:eastAsia="楷体_GB2312" w:cs="楷体_GB2312"/>
          <w:color w:val="auto"/>
          <w:sz w:val="28"/>
          <w:szCs w:val="32"/>
        </w:rPr>
        <w:t>事故</w:t>
      </w:r>
      <w:r>
        <w:rPr>
          <w:rFonts w:hint="eastAsia" w:ascii="楷体_GB2312" w:hAnsi="楷体_GB2312" w:eastAsia="楷体_GB2312" w:cs="楷体_GB2312"/>
          <w:sz w:val="28"/>
          <w:szCs w:val="32"/>
        </w:rPr>
        <w:t>管控措施</w:t>
      </w:r>
    </w:p>
    <w:tbl>
      <w:tblPr>
        <w:tblStyle w:val="5"/>
        <w:tblW w:w="148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6"/>
        <w:gridCol w:w="897"/>
        <w:gridCol w:w="1954"/>
        <w:gridCol w:w="1647"/>
        <w:gridCol w:w="2878"/>
        <w:gridCol w:w="3166"/>
        <w:gridCol w:w="3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序号</w:t>
            </w:r>
          </w:p>
        </w:tc>
        <w:tc>
          <w:tcPr>
            <w:tcW w:w="897"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中类行业名称</w:t>
            </w:r>
          </w:p>
        </w:tc>
        <w:tc>
          <w:tcPr>
            <w:tcW w:w="1954"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典型设备设施或作业活动举例</w:t>
            </w:r>
          </w:p>
        </w:tc>
        <w:tc>
          <w:tcPr>
            <w:tcW w:w="1647"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事故原因</w:t>
            </w:r>
          </w:p>
        </w:tc>
        <w:tc>
          <w:tcPr>
            <w:tcW w:w="2878"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典型工程技术措施</w:t>
            </w:r>
          </w:p>
        </w:tc>
        <w:tc>
          <w:tcPr>
            <w:tcW w:w="3166"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典型的管理措施</w:t>
            </w:r>
          </w:p>
        </w:tc>
        <w:tc>
          <w:tcPr>
            <w:tcW w:w="3816"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好的做法示例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w:t>
            </w:r>
          </w:p>
        </w:tc>
        <w:tc>
          <w:tcPr>
            <w:tcW w:w="89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家具制造</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带锯机等木材加工机械</w:t>
            </w:r>
          </w:p>
        </w:tc>
        <w:tc>
          <w:tcPr>
            <w:tcW w:w="164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1.未设置防护罩或防护罩功能失效。</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2.切割小料时未使用替代工具。</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1.裸露的传动装置（如带和带轮、链和链轮、变速齿轮等）应设置防护装置。使用活动防护装置时，防护装置开启应与机器启动连锁。</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2.切削刀具除了必要外露部分，其余部分不得外露，否则应使用防护罩或接触预防装置。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3.各类防护装置应能抵抗各类冲击。</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1.制定简单易行的岗位安全操作要点，并监督员工执行；</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2.设备、操作区域设置“当心机械伤人”安全警示标志。</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3.旋转刀具修磨后应按GB12557的规定进行静平衡或动平衡试验。</w:t>
            </w:r>
          </w:p>
        </w:tc>
        <w:tc>
          <w:tcPr>
            <w:tcW w:w="381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drawing>
                <wp:inline distT="0" distB="0" distL="0" distR="0">
                  <wp:extent cx="1767205" cy="1936750"/>
                  <wp:effectExtent l="0" t="0" r="4445" b="6350"/>
                  <wp:docPr id="22" name="图片 2" descr="527a2e9a322f373a2e9d215ff41a5b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 name="图片 2" descr="527a2e9a322f373a2e9d215ff41a5b7"/>
                          <pic:cNvPicPr>
                            <a:picLocks noChangeAspect="true"/>
                          </pic:cNvPicPr>
                        </pic:nvPicPr>
                        <pic:blipFill>
                          <a:blip r:embed="rId71"/>
                          <a:stretch>
                            <a:fillRect/>
                          </a:stretch>
                        </pic:blipFill>
                        <pic:spPr>
                          <a:xfrm>
                            <a:off x="0" y="0"/>
                            <a:ext cx="1768773" cy="1938308"/>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w:t>
            </w:r>
          </w:p>
        </w:tc>
        <w:tc>
          <w:tcPr>
            <w:tcW w:w="89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木材加工</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刨片机、铺装机、压机等木材加工机械</w:t>
            </w:r>
          </w:p>
        </w:tc>
        <w:tc>
          <w:tcPr>
            <w:tcW w:w="164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1.传动装置无防护罩或防护罩失效。</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2.在未断电情况下进行异常情况处理。</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1.加设急停开关。</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2.对传动皮带链条部位加设防护罩。</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1.制定简单易行的岗位安全操作要点，并监督员工执行；</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2.设备、操作区域设置“当心机械伤人”安全警示标志。</w:t>
            </w:r>
          </w:p>
        </w:tc>
        <w:tc>
          <w:tcPr>
            <w:tcW w:w="381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drawing>
                <wp:inline distT="0" distB="0" distL="0" distR="0">
                  <wp:extent cx="2028825" cy="1722120"/>
                  <wp:effectExtent l="0" t="0" r="9525" b="0"/>
                  <wp:docPr id="33" name="图片 32" descr="167771968516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32" descr="1677719685162"/>
                          <pic:cNvPicPr>
                            <a:picLocks noChangeAspect="true"/>
                          </pic:cNvPicPr>
                        </pic:nvPicPr>
                        <pic:blipFill>
                          <a:blip r:embed="rId72"/>
                          <a:stretch>
                            <a:fillRect/>
                          </a:stretch>
                        </pic:blipFill>
                        <pic:spPr>
                          <a:xfrm>
                            <a:off x="0" y="0"/>
                            <a:ext cx="2031584" cy="1724172"/>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w:t>
            </w:r>
          </w:p>
        </w:tc>
        <w:tc>
          <w:tcPr>
            <w:tcW w:w="89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皮革鞣制</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刀轴类机器、剖层机及轴式送料机构</w:t>
            </w:r>
          </w:p>
        </w:tc>
        <w:tc>
          <w:tcPr>
            <w:tcW w:w="164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1.皮革进料口无防护挡板或防护挡板不能有效的防止手部进入。</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2.设备传动部位无防护罩或防护装置失效。</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3.设备无急停开关或急停开关失效。</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1.刀轴类机器，应在操作者易触及的刀辊、供料辊前设置可调式安全活动挡板。</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2.安全活动挡板涂色要按GB 2893的规定执行。</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3.推荐采用气动式、光线式、感应式等具有联锁装置的安全控制装置。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4.刀轴类机器装换新刀片时应保证嵌装质量，经检查运转安全后方可使用。</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5.削匀机应设置安全防护装置。</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1.安全防护装置和设施应定期检修，保持良好状况。不得任意拆除或挪作它用。</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2.应按岗位要求正确穿戴好劳动防护用品。</w:t>
            </w:r>
          </w:p>
        </w:tc>
        <w:tc>
          <w:tcPr>
            <w:tcW w:w="381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drawing>
                <wp:inline distT="0" distB="0" distL="0" distR="0">
                  <wp:extent cx="2078990" cy="1555750"/>
                  <wp:effectExtent l="0" t="0" r="0" b="6350"/>
                  <wp:docPr id="34" name="图片 33" descr="167772039955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33" descr="1677720399552"/>
                          <pic:cNvPicPr>
                            <a:picLocks noChangeAspect="true"/>
                          </pic:cNvPicPr>
                        </pic:nvPicPr>
                        <pic:blipFill>
                          <a:blip r:embed="rId73"/>
                          <a:stretch>
                            <a:fillRect/>
                          </a:stretch>
                        </pic:blipFill>
                        <pic:spPr>
                          <a:xfrm>
                            <a:off x="0" y="0"/>
                            <a:ext cx="2083791" cy="1559364"/>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w:t>
            </w:r>
          </w:p>
        </w:tc>
        <w:tc>
          <w:tcPr>
            <w:tcW w:w="89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皮革鞣制</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转鼓、转笼、划槽等运转设备</w:t>
            </w:r>
          </w:p>
        </w:tc>
        <w:tc>
          <w:tcPr>
            <w:tcW w:w="164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操作人员进入危险区域，安全防护设施不全导致卷入。</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1.转鼓传动装置应设防护罩，鼓体周围应设防护栏（栅）；转鼓启动前，应确认设备周围无杂物，并设置防护栏（栅）。</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2.挤水机传动机构应设置安全防护罩，压辊前应设防护装置。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3.真空干燥机罩盖上的安全装置应可靠。需要紧急刹车时应能立即停车。</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4.磨革辊、传动机构的防护罩应安装完好。电气开关应安全可靠。</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5.滚压机应设置安全防护罩；脚踏刹车应灵敏可靠。</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1.设置安全警示标志。</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2.运转设备运行期间，任何人不得进入防护区内。</w:t>
            </w:r>
          </w:p>
        </w:tc>
        <w:tc>
          <w:tcPr>
            <w:tcW w:w="3816" w:type="dxa"/>
            <w:shd w:val="clear" w:color="auto" w:fill="auto"/>
            <w:vAlign w:val="center"/>
          </w:tcPr>
          <w:p>
            <w:pPr>
              <w:widowControl/>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5</w:t>
            </w:r>
          </w:p>
        </w:tc>
        <w:tc>
          <w:tcPr>
            <w:tcW w:w="89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植物油加工</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粮仓（筒仓、平房仓）</w:t>
            </w:r>
          </w:p>
        </w:tc>
        <w:tc>
          <w:tcPr>
            <w:tcW w:w="164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立式筒仓未按规定的种类和容量充装，产生爆裂。</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1.按照筒仓的设计能力和种类充装，不得超装，不得存放非允许类的其他粮食、物品。</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2.应设置料位指示装置并设置超限报警装置。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3.建立仓内存放物品通风、检测措施，并做好记录。</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立式仓周边禁止无关人员停留并设置提示标识。</w:t>
            </w:r>
          </w:p>
        </w:tc>
        <w:tc>
          <w:tcPr>
            <w:tcW w:w="3816" w:type="dxa"/>
            <w:shd w:val="clear" w:color="auto" w:fill="auto"/>
            <w:vAlign w:val="center"/>
          </w:tcPr>
          <w:p>
            <w:pPr>
              <w:widowControl/>
              <w:jc w:val="center"/>
              <w:rPr>
                <w:rFonts w:hint="eastAsia" w:ascii="仿宋" w:hAnsi="仿宋" w:eastAsia="仿宋" w:cs="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6</w:t>
            </w:r>
          </w:p>
        </w:tc>
        <w:tc>
          <w:tcPr>
            <w:tcW w:w="89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kern w:val="0"/>
                <w:sz w:val="21"/>
                <w:szCs w:val="21"/>
              </w:rPr>
              <w:t>食品生产</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搅拌机、切丁机、</w:t>
            </w:r>
            <w:r>
              <w:rPr>
                <w:rFonts w:hint="eastAsia" w:ascii="仿宋" w:hAnsi="仿宋" w:eastAsia="仿宋" w:cs="仿宋"/>
                <w:sz w:val="21"/>
                <w:szCs w:val="21"/>
              </w:rPr>
              <w:t>糖化罐、</w:t>
            </w:r>
            <w:r>
              <w:rPr>
                <w:rFonts w:hint="eastAsia" w:ascii="仿宋" w:hAnsi="仿宋" w:eastAsia="仿宋" w:cs="仿宋"/>
                <w:color w:val="000000"/>
                <w:sz w:val="21"/>
                <w:szCs w:val="21"/>
              </w:rPr>
              <w:t>发酵罐、消泡沫剂罐、</w:t>
            </w:r>
            <w:r>
              <w:rPr>
                <w:rFonts w:hint="eastAsia" w:ascii="仿宋" w:hAnsi="仿宋" w:eastAsia="仿宋" w:cs="仿宋"/>
                <w:sz w:val="21"/>
                <w:szCs w:val="21"/>
              </w:rPr>
              <w:t>烘焙</w:t>
            </w:r>
            <w:r>
              <w:rPr>
                <w:rFonts w:hint="eastAsia" w:ascii="仿宋" w:hAnsi="仿宋" w:eastAsia="仿宋" w:cs="仿宋"/>
                <w:color w:val="000000"/>
                <w:sz w:val="21"/>
                <w:szCs w:val="21"/>
              </w:rPr>
              <w:t>输粉、搅拌、泵类等设备</w:t>
            </w:r>
          </w:p>
        </w:tc>
        <w:tc>
          <w:tcPr>
            <w:tcW w:w="1647"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操作人员进入危险区域，安全防护设施不全导致卷入。</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1.搅拌机切刀应牢固、无松动、无损伤；开转转刀前必须将护盖盖到位。</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2.切丁机切削旋转部位要有防护。</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w:t>
            </w:r>
            <w:r>
              <w:rPr>
                <w:rFonts w:hint="eastAsia" w:ascii="仿宋" w:hAnsi="仿宋" w:eastAsia="仿宋" w:cs="仿宋"/>
                <w:sz w:val="21"/>
                <w:szCs w:val="21"/>
              </w:rPr>
              <w:t>糖化罐、</w:t>
            </w:r>
            <w:r>
              <w:rPr>
                <w:rFonts w:hint="eastAsia" w:ascii="仿宋" w:hAnsi="仿宋" w:eastAsia="仿宋" w:cs="仿宋"/>
                <w:color w:val="000000"/>
                <w:sz w:val="21"/>
                <w:szCs w:val="21"/>
              </w:rPr>
              <w:t>发酵罐、消泡沫剂罐搅拌叶片和立轴连接牢固，无严重磨损、腐蚀。</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w:t>
            </w:r>
            <w:r>
              <w:rPr>
                <w:rFonts w:hint="eastAsia" w:ascii="仿宋" w:hAnsi="仿宋" w:eastAsia="仿宋" w:cs="仿宋"/>
                <w:sz w:val="21"/>
                <w:szCs w:val="21"/>
              </w:rPr>
              <w:t>烘焙</w:t>
            </w:r>
            <w:r>
              <w:rPr>
                <w:rFonts w:hint="eastAsia" w:ascii="仿宋" w:hAnsi="仿宋" w:eastAsia="仿宋" w:cs="仿宋"/>
                <w:color w:val="000000"/>
                <w:sz w:val="21"/>
                <w:szCs w:val="21"/>
              </w:rPr>
              <w:t>输粉、搅拌、泵类设备裸露旋转部件（如联轴器）应采取有效防护措施。</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1.设备上应有明显的安全警示性标牌。</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2.检修时必须由专人监护。</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3.定期进行设备维护保养。</w:t>
            </w:r>
          </w:p>
        </w:tc>
        <w:tc>
          <w:tcPr>
            <w:tcW w:w="3816" w:type="dxa"/>
            <w:shd w:val="clear" w:color="auto" w:fill="auto"/>
            <w:vAlign w:val="center"/>
          </w:tcPr>
          <w:p>
            <w:pPr>
              <w:widowControl/>
              <w:jc w:val="center"/>
              <w:rPr>
                <w:rFonts w:hint="eastAsia" w:ascii="仿宋" w:hAnsi="仿宋" w:eastAsia="仿宋" w:cs="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7</w:t>
            </w:r>
          </w:p>
        </w:tc>
        <w:tc>
          <w:tcPr>
            <w:tcW w:w="897"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饮料制造业</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果蔬压榨机、分离机、过滤机、皮带输送机、卸罐机、码垛机、装箱机、贴标机等</w:t>
            </w:r>
          </w:p>
        </w:tc>
        <w:tc>
          <w:tcPr>
            <w:tcW w:w="164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操作人员进入危险区域，安全防护设施不全导致卷入。</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1.果蔬压榨机、分离机、过滤机各固定螺栓齐全无松动、变形；传动部位安全防护装置齐全、可靠。</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2.皮带输送机在两边应设置防跑偏挡轮，并运转灵活，销轴无窜动；转弯处应设置防倾覆装置。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3.卸罐机、码垛机、装箱机外漏的旋转部位应安装防护装置，并确保完好有效；紧固件、连接件的锁紧装置应完整、可靠。</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1.设备上应有明显的安全警示性标牌。</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2.定期进行设备维护保养。</w:t>
            </w:r>
          </w:p>
        </w:tc>
        <w:tc>
          <w:tcPr>
            <w:tcW w:w="3816" w:type="dxa"/>
            <w:shd w:val="clear" w:color="auto" w:fill="auto"/>
            <w:vAlign w:val="center"/>
          </w:tcPr>
          <w:p>
            <w:pPr>
              <w:widowControl/>
              <w:jc w:val="center"/>
              <w:rPr>
                <w:rFonts w:hint="eastAsia" w:ascii="仿宋" w:hAnsi="仿宋" w:eastAsia="仿宋" w:cs="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8</w:t>
            </w:r>
          </w:p>
        </w:tc>
        <w:tc>
          <w:tcPr>
            <w:tcW w:w="897"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白酒制造</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机械加工设备</w:t>
            </w:r>
          </w:p>
        </w:tc>
        <w:tc>
          <w:tcPr>
            <w:tcW w:w="164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传动设备防护装置不全或失效。</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1.灌装生产线设置爆瓶防护装置；贮液缸上设置安全阀。</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2.易造成伤害事故的运动部件设置封闭或屏蔽，或采取避免操作人员接触的防护措施。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3.机械加工设备根据需要设置限位装置。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4.机械加工设备设置防止意外启动的保护装置，当设备动力偶然切断时，制动、夹紧动作不应中断，动力重新接通时，设备不应自动启动。</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1.安全防护装置与设备运转联锁。</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2.机械加工设备易发生危险的部位设置安全标志或涂安全色。</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3.光电式、感应式等形式的安全防护装置设置自身出现故障的报警装置。</w:t>
            </w:r>
          </w:p>
        </w:tc>
        <w:tc>
          <w:tcPr>
            <w:tcW w:w="3816" w:type="dxa"/>
            <w:shd w:val="clear" w:color="auto" w:fill="auto"/>
            <w:vAlign w:val="center"/>
          </w:tcPr>
          <w:p>
            <w:pPr>
              <w:widowControl/>
              <w:jc w:val="center"/>
              <w:rPr>
                <w:rFonts w:hint="eastAsia" w:ascii="仿宋" w:hAnsi="仿宋" w:eastAsia="仿宋" w:cs="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9</w:t>
            </w:r>
          </w:p>
        </w:tc>
        <w:tc>
          <w:tcPr>
            <w:tcW w:w="89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印刷和记录媒介复制业</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印刷、上光单元</w:t>
            </w:r>
          </w:p>
        </w:tc>
        <w:tc>
          <w:tcPr>
            <w:tcW w:w="164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1.物料堆放区域防护设施不全。</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w:t>
            </w:r>
            <w:r>
              <w:rPr>
                <w:rFonts w:hint="eastAsia" w:ascii="仿宋" w:hAnsi="仿宋" w:eastAsia="仿宋" w:cs="仿宋"/>
                <w:sz w:val="21"/>
                <w:szCs w:val="21"/>
              </w:rPr>
              <w:t>操作人员未经安全教育培训或违章作业、误操作。</w:t>
            </w:r>
          </w:p>
        </w:tc>
        <w:tc>
          <w:tcPr>
            <w:tcW w:w="2878"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1.印刷机的进入高度（收纸侧）超过800mm时、进入纸堆台板以下区域以及用于降低纸堆的其他装置区域，应在纸堆台板采取电敏防护等安全防护。</w:t>
            </w:r>
          </w:p>
          <w:p>
            <w:pPr>
              <w:widowControl/>
              <w:jc w:val="left"/>
              <w:rPr>
                <w:rFonts w:hint="eastAsia" w:ascii="仿宋" w:hAnsi="仿宋" w:eastAsia="仿宋" w:cs="仿宋"/>
                <w:sz w:val="21"/>
                <w:szCs w:val="21"/>
              </w:rPr>
            </w:pPr>
            <w:r>
              <w:rPr>
                <w:rFonts w:hint="eastAsia" w:ascii="仿宋" w:hAnsi="仿宋" w:eastAsia="仿宋" w:cs="仿宋"/>
                <w:sz w:val="21"/>
                <w:szCs w:val="21"/>
              </w:rPr>
              <w:t>2.纸堆台的下降运行以止——动控制方式进行，纸堆台板的下边缘与地面之间留有50mm的空隙防止对脚趾的挤压。</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1.制定简单易行的岗位安全操作要点，并监督员工执行；</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2.设备、操作区域设置“当心机械伤人”安全警示标志。</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3.加强员工教育培训。</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4加强员工形成观察，打击“三违”行为。</w:t>
            </w:r>
          </w:p>
        </w:tc>
        <w:tc>
          <w:tcPr>
            <w:tcW w:w="3816" w:type="dxa"/>
            <w:shd w:val="clear" w:color="auto" w:fill="auto"/>
            <w:vAlign w:val="center"/>
          </w:tcPr>
          <w:p>
            <w:pPr>
              <w:widowControl/>
              <w:jc w:val="center"/>
              <w:rPr>
                <w:rFonts w:hint="eastAsia" w:ascii="仿宋" w:hAnsi="仿宋" w:eastAsia="仿宋" w:cs="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10</w:t>
            </w:r>
          </w:p>
        </w:tc>
        <w:tc>
          <w:tcPr>
            <w:tcW w:w="89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印刷和记录媒介复制业</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纸堆翻转、升降装置</w:t>
            </w:r>
          </w:p>
        </w:tc>
        <w:tc>
          <w:tcPr>
            <w:tcW w:w="1647"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1.设备安全防护装置缺失或故障。</w:t>
            </w:r>
          </w:p>
          <w:p>
            <w:pPr>
              <w:widowControl/>
              <w:jc w:val="left"/>
              <w:rPr>
                <w:rFonts w:hint="eastAsia" w:ascii="仿宋" w:hAnsi="仿宋" w:eastAsia="仿宋" w:cs="仿宋"/>
                <w:sz w:val="21"/>
                <w:szCs w:val="21"/>
              </w:rPr>
            </w:pPr>
            <w:r>
              <w:rPr>
                <w:rFonts w:hint="eastAsia" w:ascii="仿宋" w:hAnsi="仿宋" w:eastAsia="仿宋" w:cs="仿宋"/>
                <w:sz w:val="21"/>
                <w:szCs w:val="21"/>
              </w:rPr>
              <w:t>2.操作人员未经安全教育培训或违章作业、误操作。</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为螺旋起子设置附加螺母，为链条（或绳索）设置附加无负载的双链条进行防护。</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纸堆升降装置的套筒滚子链条的断裂强度应至少是允许静态载荷的4倍。</w:t>
            </w:r>
          </w:p>
        </w:tc>
        <w:tc>
          <w:tcPr>
            <w:tcW w:w="3816" w:type="dxa"/>
            <w:shd w:val="clear" w:color="auto" w:fill="auto"/>
            <w:vAlign w:val="center"/>
          </w:tcPr>
          <w:p>
            <w:pPr>
              <w:widowControl/>
              <w:jc w:val="center"/>
              <w:rPr>
                <w:rFonts w:hint="eastAsia" w:ascii="仿宋" w:hAnsi="仿宋" w:eastAsia="仿宋" w:cs="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11</w:t>
            </w:r>
          </w:p>
        </w:tc>
        <w:tc>
          <w:tcPr>
            <w:tcW w:w="89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造纸和纸制品业</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纸张加工机械（上料、提升设备）</w:t>
            </w:r>
          </w:p>
        </w:tc>
        <w:tc>
          <w:tcPr>
            <w:tcW w:w="1647"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设备区未设置安全防护装置或联锁检测装置未启用、故障。</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可升降的上胶装置应采用门闩或自锁轴等自锁装置使其安全牢固地固定在提升位置。</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1.制定简单易行的岗位安全操作要点，并监督员工执行；</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2.设备、操作区域设置“当心机械伤人”安全警示标志。</w:t>
            </w:r>
          </w:p>
        </w:tc>
        <w:tc>
          <w:tcPr>
            <w:tcW w:w="3816" w:type="dxa"/>
            <w:shd w:val="clear" w:color="auto" w:fill="auto"/>
            <w:vAlign w:val="center"/>
          </w:tcPr>
          <w:p>
            <w:pPr>
              <w:widowControl/>
              <w:jc w:val="center"/>
              <w:rPr>
                <w:rFonts w:hint="eastAsia" w:ascii="仿宋" w:hAnsi="仿宋" w:eastAsia="仿宋" w:cs="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12</w:t>
            </w:r>
          </w:p>
        </w:tc>
        <w:tc>
          <w:tcPr>
            <w:tcW w:w="89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造纸和纸制品业</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瓦楞纸机械（活动压台、传动设备、支撑设备）</w:t>
            </w:r>
          </w:p>
        </w:tc>
        <w:tc>
          <w:tcPr>
            <w:tcW w:w="1647"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1.设备区未设置安全防护装置或防护设施故障。</w:t>
            </w:r>
          </w:p>
          <w:p>
            <w:pPr>
              <w:widowControl/>
              <w:jc w:val="left"/>
              <w:rPr>
                <w:rFonts w:hint="eastAsia" w:ascii="仿宋" w:hAnsi="仿宋" w:eastAsia="仿宋" w:cs="仿宋"/>
                <w:sz w:val="21"/>
                <w:szCs w:val="21"/>
              </w:rPr>
            </w:pPr>
            <w:r>
              <w:rPr>
                <w:rFonts w:hint="eastAsia" w:ascii="仿宋" w:hAnsi="仿宋" w:eastAsia="仿宋" w:cs="仿宋"/>
                <w:sz w:val="21"/>
                <w:szCs w:val="21"/>
              </w:rPr>
              <w:t>2.操作人员未经安全教育培训或违章作业、误操作。</w:t>
            </w:r>
          </w:p>
        </w:tc>
        <w:tc>
          <w:tcPr>
            <w:tcW w:w="2878"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1.打开活动压台产生的碰撞危险应使用膝挡板防止。膝挡板的长度应至少与活动台宽度相同。</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2.更换模切工具时,应安装牢固的固定工具,防止移动过程中因重力坠落导致物体打击伤害。</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活动压台处于开启状态时,膝挡板和活动压台前边缘之间的间距应至少为120mm。</w:t>
            </w:r>
          </w:p>
        </w:tc>
        <w:tc>
          <w:tcPr>
            <w:tcW w:w="3816" w:type="dxa"/>
            <w:shd w:val="clear" w:color="auto" w:fill="auto"/>
            <w:vAlign w:val="center"/>
          </w:tcPr>
          <w:p>
            <w:pPr>
              <w:widowControl/>
              <w:jc w:val="center"/>
              <w:rPr>
                <w:rFonts w:hint="eastAsia" w:ascii="仿宋" w:hAnsi="仿宋" w:eastAsia="仿宋" w:cs="仿宋"/>
                <w:color w:val="000000"/>
                <w:sz w:val="21"/>
                <w:szCs w:val="21"/>
              </w:rPr>
            </w:pPr>
          </w:p>
        </w:tc>
      </w:tr>
    </w:tbl>
    <w:p>
      <w:pPr>
        <w:rPr>
          <w:rFonts w:ascii="宋体" w:hAnsi="宋体" w:eastAsia="宋体"/>
          <w:sz w:val="28"/>
          <w:szCs w:val="32"/>
        </w:rPr>
      </w:pPr>
    </w:p>
    <w:p>
      <w:pPr>
        <w:rPr>
          <w:rFonts w:ascii="宋体" w:hAnsi="宋体" w:eastAsia="宋体"/>
          <w:sz w:val="28"/>
          <w:szCs w:val="32"/>
        </w:rPr>
      </w:pPr>
      <w:r>
        <w:rPr>
          <w:rFonts w:ascii="宋体" w:hAnsi="宋体" w:eastAsia="宋体"/>
          <w:sz w:val="28"/>
          <w:szCs w:val="32"/>
        </w:rPr>
        <w:br w:type="page"/>
      </w:r>
    </w:p>
    <w:p>
      <w:pP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7.纺织行业典型机械伤害</w:t>
      </w:r>
      <w:r>
        <w:rPr>
          <w:rFonts w:hint="eastAsia" w:ascii="楷体_GB2312" w:hAnsi="楷体_GB2312" w:eastAsia="楷体_GB2312" w:cs="楷体_GB2312"/>
          <w:color w:val="auto"/>
          <w:sz w:val="28"/>
          <w:szCs w:val="32"/>
        </w:rPr>
        <w:t>事故</w:t>
      </w:r>
      <w:r>
        <w:rPr>
          <w:rFonts w:hint="eastAsia" w:ascii="楷体_GB2312" w:hAnsi="楷体_GB2312" w:eastAsia="楷体_GB2312" w:cs="楷体_GB2312"/>
          <w:sz w:val="28"/>
          <w:szCs w:val="32"/>
        </w:rPr>
        <w:t>管控措施</w:t>
      </w:r>
    </w:p>
    <w:tbl>
      <w:tblPr>
        <w:tblStyle w:val="5"/>
        <w:tblW w:w="148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4"/>
        <w:gridCol w:w="998"/>
        <w:gridCol w:w="1731"/>
        <w:gridCol w:w="1871"/>
        <w:gridCol w:w="2878"/>
        <w:gridCol w:w="3253"/>
        <w:gridCol w:w="37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4"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序号</w:t>
            </w:r>
          </w:p>
        </w:tc>
        <w:tc>
          <w:tcPr>
            <w:tcW w:w="998"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中类行业名称</w:t>
            </w:r>
          </w:p>
        </w:tc>
        <w:tc>
          <w:tcPr>
            <w:tcW w:w="1731"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典型设备设施或作业活动举例</w:t>
            </w:r>
          </w:p>
        </w:tc>
        <w:tc>
          <w:tcPr>
            <w:tcW w:w="1871"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事故原因</w:t>
            </w:r>
          </w:p>
        </w:tc>
        <w:tc>
          <w:tcPr>
            <w:tcW w:w="2878"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典型工程技术措施</w:t>
            </w:r>
          </w:p>
        </w:tc>
        <w:tc>
          <w:tcPr>
            <w:tcW w:w="3253"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典型的管理措施</w:t>
            </w:r>
          </w:p>
        </w:tc>
        <w:tc>
          <w:tcPr>
            <w:tcW w:w="3729"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好的做法示例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4"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1</w:t>
            </w:r>
          </w:p>
        </w:tc>
        <w:tc>
          <w:tcPr>
            <w:tcW w:w="998"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棉纺织及印染精加工</w:t>
            </w:r>
          </w:p>
        </w:tc>
        <w:tc>
          <w:tcPr>
            <w:tcW w:w="173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从抓棉至成卷的机械打手观察窗、检修门、轧点、传动、旋转，以及平台等部位。</w:t>
            </w:r>
          </w:p>
        </w:tc>
        <w:tc>
          <w:tcPr>
            <w:tcW w:w="187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1.机械打手观察窗、检修门损坏或联锁装置缺失、无效。</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2.机械轧点部位防护装置缺失或生头板缺失。</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3.机械传动、旋转部位防护装置缺失。</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4.操作平台无防护栏或防护栏高度设置不符合要求。</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5.擅自拆除联锁装置、防护装置。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6.不采取生头板操作。</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1.在抓棉机吸斗观察窗，混开棉机滚筒部位、滚筒顶盖、打手部位，开棉机打手部位和成卷机综合打手处等机械打手观察窗、检修门应安装电气联锁与机械联锁的保险装置，做到完整、可靠、有效。</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2.当设备运转时，观察窗、检修门应确保无缺失，不可打开。</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3.机械打手观察窗、检修门使用有机玻璃，厚度不小于３毫米，且无破损缺口。</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4.机械打手采用网孔结构补风门时，其开口宽度、直径及圆孔的短轴尺寸必须小于12.5毫米，与危险区域的安全距离必须大于92毫米。</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5.成卷压辊棉层轧点部位配备生头防护装置，做到完整、有效，未采取自动成卷的设备应配备生头板。</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6.按标准设置操作和检修平台。</w:t>
            </w:r>
          </w:p>
        </w:tc>
        <w:tc>
          <w:tcPr>
            <w:tcW w:w="325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1.设置安全警示标志。</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2.设备未停运严禁打开防护罩。</w:t>
            </w:r>
          </w:p>
        </w:tc>
        <w:tc>
          <w:tcPr>
            <w:tcW w:w="3729" w:type="dxa"/>
            <w:shd w:val="clear" w:color="auto" w:fill="auto"/>
            <w:vAlign w:val="center"/>
          </w:tcPr>
          <w:p>
            <w:pPr>
              <w:widowControl/>
              <w:jc w:val="center"/>
              <w:rPr>
                <w:rFonts w:hint="eastAsia" w:ascii="仿宋" w:hAnsi="仿宋" w:eastAsia="仿宋" w:cs="仿宋"/>
                <w:sz w:val="21"/>
                <w:szCs w:val="21"/>
              </w:rPr>
            </w:pPr>
            <w:r>
              <w:rPr>
                <w:rFonts w:hint="eastAsia" w:ascii="仿宋" w:hAnsi="仿宋" w:eastAsia="仿宋" w:cs="仿宋"/>
                <w:sz w:val="21"/>
                <w:szCs w:val="21"/>
              </w:rPr>
              <w:object>
                <v:shape id="_x0000_i1038" o:spt="75" alt="" type="#_x0000_t75" style="height:143.15pt;width:144pt;" o:ole="t" filled="f" o:preferrelative="t" stroked="f" coordsize="21600,21600">
                  <v:path/>
                  <v:fill on="f" focussize="0,0"/>
                  <v:stroke on="f"/>
                  <v:imagedata r:id="rId75" o:title=""/>
                  <o:lock v:ext="edit" aspectratio="t"/>
                  <w10:wrap type="none"/>
                  <w10:anchorlock/>
                </v:shape>
                <o:OLEObject Type="Embed" ProgID="PBrush" ShapeID="_x0000_i1038" DrawAspect="Content" ObjectID="_1468075738" r:id="rId74">
                  <o:LockedField>false</o:LockedField>
                </o:OLEObject>
              </w:object>
            </w:r>
            <w:r>
              <w:rPr>
                <w:rFonts w:hint="eastAsia" w:ascii="仿宋" w:hAnsi="仿宋" w:eastAsia="仿宋" w:cs="仿宋"/>
                <w:sz w:val="21"/>
                <w:szCs w:val="21"/>
              </w:rPr>
              <w:object>
                <v:shape id="_x0000_i1039" o:spt="75" alt="" type="#_x0000_t75" style="height:122.75pt;width:144.85pt;" o:ole="t" filled="f" o:preferrelative="t" stroked="f" coordsize="21600,21600">
                  <v:path/>
                  <v:fill on="f" focussize="0,0"/>
                  <v:stroke on="f"/>
                  <v:imagedata r:id="rId77" o:title=""/>
                  <o:lock v:ext="edit" aspectratio="t"/>
                  <w10:wrap type="none"/>
                  <w10:anchorlock/>
                </v:shape>
                <o:OLEObject Type="Embed" ProgID="PBrush" ShapeID="_x0000_i1039" DrawAspect="Content" ObjectID="_1468075739" r:id="rId76">
                  <o:LockedField>false</o:LockedField>
                </o:OLEObject>
              </w:object>
            </w:r>
          </w:p>
          <w:p>
            <w:pPr>
              <w:widowControl/>
              <w:jc w:val="center"/>
              <w:rPr>
                <w:rFonts w:hint="eastAsia" w:ascii="仿宋" w:hAnsi="仿宋" w:eastAsia="仿宋" w:cs="仿宋"/>
                <w:sz w:val="21"/>
                <w:szCs w:val="21"/>
              </w:rPr>
            </w:pPr>
            <w:r>
              <w:rPr>
                <w:rFonts w:hint="eastAsia" w:ascii="仿宋" w:hAnsi="仿宋" w:eastAsia="仿宋" w:cs="仿宋"/>
                <w:sz w:val="21"/>
                <w:szCs w:val="21"/>
              </w:rPr>
              <w:object>
                <v:shape id="_x0000_i1040" o:spt="75" alt="" type="#_x0000_t75" style="height:115.7pt;width:140.25pt;" o:ole="t" filled="f" o:preferrelative="t" stroked="f" coordsize="21600,21600">
                  <v:path/>
                  <v:fill on="f" focussize="0,0"/>
                  <v:stroke on="f"/>
                  <v:imagedata r:id="rId79" o:title=""/>
                  <o:lock v:ext="edit" aspectratio="t"/>
                  <w10:wrap type="none"/>
                  <w10:anchorlock/>
                </v:shape>
                <o:OLEObject Type="Embed" ProgID="PBrush" ShapeID="_x0000_i1040" DrawAspect="Content" ObjectID="_1468075740" r:id="rId78">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4"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2</w:t>
            </w:r>
          </w:p>
        </w:tc>
        <w:tc>
          <w:tcPr>
            <w:tcW w:w="998"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棉纺织及印染精加工</w:t>
            </w:r>
          </w:p>
        </w:tc>
        <w:tc>
          <w:tcPr>
            <w:tcW w:w="1731"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后纺车间倍捻机</w:t>
            </w:r>
          </w:p>
        </w:tc>
        <w:tc>
          <w:tcPr>
            <w:tcW w:w="187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倍捻槽筒传动轴链条部位无防护罩，值车工衣物被缠绕造成卷入绞伤。</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在倍捻机槽筒传动轴、链轮、链条等暴露部位加装防护罩，防止运行中触碰。</w:t>
            </w:r>
          </w:p>
        </w:tc>
        <w:tc>
          <w:tcPr>
            <w:tcW w:w="325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设备未停运严禁打开防护罩。</w:t>
            </w:r>
          </w:p>
        </w:tc>
        <w:tc>
          <w:tcPr>
            <w:tcW w:w="3729"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41" o:spt="75" alt="" type="#_x0000_t75" style="height:139.4pt;width:162.75pt;" o:ole="t" filled="f" o:preferrelative="t" stroked="f" coordsize="21600,21600">
                  <v:path/>
                  <v:fill on="f" focussize="0,0"/>
                  <v:stroke on="f"/>
                  <v:imagedata r:id="rId81" o:title=""/>
                  <o:lock v:ext="edit" aspectratio="t"/>
                  <w10:wrap type="none"/>
                  <w10:anchorlock/>
                </v:shape>
                <o:OLEObject Type="Embed" ProgID="PBrush" ShapeID="_x0000_i1041" DrawAspect="Content" ObjectID="_1468075741" r:id="rId80">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4"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3</w:t>
            </w:r>
          </w:p>
        </w:tc>
        <w:tc>
          <w:tcPr>
            <w:tcW w:w="998"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棉纺织及印染精加工</w:t>
            </w:r>
          </w:p>
        </w:tc>
        <w:tc>
          <w:tcPr>
            <w:tcW w:w="173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织造车间织布机绞边器</w:t>
            </w:r>
          </w:p>
        </w:tc>
        <w:tc>
          <w:tcPr>
            <w:tcW w:w="187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织布机绞边器传动齿轮防护不全，在检维修和运行中清洁清扫时将手卷入绞伤。</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在传动齿轮外露部位加装防护罩，防止检维修意外启动或运行中清洁清扫发生事故。</w:t>
            </w:r>
          </w:p>
        </w:tc>
        <w:tc>
          <w:tcPr>
            <w:tcW w:w="325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设备未停运严禁打开防护罩。</w:t>
            </w:r>
          </w:p>
        </w:tc>
        <w:tc>
          <w:tcPr>
            <w:tcW w:w="3729"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42" o:spt="75" alt="" type="#_x0000_t75" style="height:146.1pt;width:157.75pt;" o:ole="t" filled="f" o:preferrelative="t" stroked="f" coordsize="21600,21600">
                  <v:path/>
                  <v:fill on="f" focussize="0,0"/>
                  <v:stroke on="f"/>
                  <v:imagedata r:id="rId83" o:title=""/>
                  <o:lock v:ext="edit" aspectratio="t"/>
                  <w10:wrap type="none"/>
                  <w10:anchorlock/>
                </v:shape>
                <o:OLEObject Type="Embed" ProgID="PBrush" ShapeID="_x0000_i1042" DrawAspect="Content" ObjectID="_1468075742" r:id="rId82">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4"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4</w:t>
            </w:r>
          </w:p>
        </w:tc>
        <w:tc>
          <w:tcPr>
            <w:tcW w:w="998"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棉纺织及印染精加工</w:t>
            </w:r>
          </w:p>
        </w:tc>
        <w:tc>
          <w:tcPr>
            <w:tcW w:w="173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定型机整纬器部位。</w:t>
            </w:r>
          </w:p>
        </w:tc>
        <w:tc>
          <w:tcPr>
            <w:tcW w:w="187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整纬器整纬辊无防护罩，在不停车清扫或者处理缠布时被高速运转的导布辊缠绕带入绞伤。</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在整纬器部位加装防护罩防止操作人员触碰。</w:t>
            </w:r>
          </w:p>
        </w:tc>
        <w:tc>
          <w:tcPr>
            <w:tcW w:w="3253"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1.在整纬器两侧安装透明防护罩。</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2.确保防护罩时刻处于关闭状态并确保防护罩完好。</w:t>
            </w:r>
          </w:p>
        </w:tc>
        <w:tc>
          <w:tcPr>
            <w:tcW w:w="3729"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43" o:spt="75" alt="" type="#_x0000_t75" style="height:138.6pt;width:157.75pt;" o:ole="t" filled="f" o:preferrelative="t" stroked="f" coordsize="21600,21600">
                  <v:path/>
                  <v:fill on="f" focussize="0,0"/>
                  <v:stroke on="f"/>
                  <v:imagedata r:id="rId85" o:title=""/>
                  <o:lock v:ext="edit" aspectratio="t"/>
                  <w10:wrap type="none"/>
                  <w10:anchorlock/>
                </v:shape>
                <o:OLEObject Type="Embed" ProgID="PBrush" ShapeID="_x0000_i1043" DrawAspect="Content" ObjectID="_1468075743" r:id="rId84">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4"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5</w:t>
            </w:r>
          </w:p>
        </w:tc>
        <w:tc>
          <w:tcPr>
            <w:tcW w:w="998"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棉纺织及印染精加工</w:t>
            </w:r>
          </w:p>
        </w:tc>
        <w:tc>
          <w:tcPr>
            <w:tcW w:w="1731"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煮漂机、定型机落布打卷部位。</w:t>
            </w:r>
          </w:p>
        </w:tc>
        <w:tc>
          <w:tcPr>
            <w:tcW w:w="187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高速运转的导布辊缠入回丝、布条等异物或容易造成打卷异常，在导布辊未停稳时处理或意外启动导致肢体缠绕。</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在落布打卷导布辊部位安装光电自停装置。</w:t>
            </w:r>
          </w:p>
        </w:tc>
        <w:tc>
          <w:tcPr>
            <w:tcW w:w="3253"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1.导布辊未停稳严禁处理打卷异常。</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2.严禁拆除光电自停装置，并确保光电自停装置处于开启状态并灵活、有效。</w:t>
            </w:r>
          </w:p>
        </w:tc>
        <w:tc>
          <w:tcPr>
            <w:tcW w:w="3729"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44" o:spt="75" alt="" type="#_x0000_t75" style="height:126.95pt;width:154.4pt;" o:ole="t" filled="f" o:preferrelative="t" stroked="f" coordsize="21600,21600">
                  <v:path/>
                  <v:fill on="f" focussize="0,0"/>
                  <v:stroke on="f"/>
                  <v:imagedata r:id="rId87" o:title=""/>
                  <o:lock v:ext="edit" aspectratio="t"/>
                  <w10:wrap type="none"/>
                  <w10:anchorlock/>
                </v:shape>
                <o:OLEObject Type="Embed" ProgID="PBrush" ShapeID="_x0000_i1044" DrawAspect="Content" ObjectID="_1468075744" r:id="rId86">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4"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6</w:t>
            </w:r>
          </w:p>
        </w:tc>
        <w:tc>
          <w:tcPr>
            <w:tcW w:w="998"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棉纺织及印染精加工</w:t>
            </w:r>
          </w:p>
        </w:tc>
        <w:tc>
          <w:tcPr>
            <w:tcW w:w="173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前处理车间丝光机、轧光机轧车。</w:t>
            </w:r>
          </w:p>
        </w:tc>
        <w:tc>
          <w:tcPr>
            <w:tcW w:w="187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轧车运行过程中，由于缠布或者轧辊上有异物，在轧辊未停稳时处理造成手或手臂卷入绞伤。</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防护罩开关部位前设置拉绳自停装置或急停按钮，在操作工接触防护罩开关危险区域前触碰急停拉绳或按钮，能够提前制动轧辊防止轧辊伤人。</w:t>
            </w:r>
          </w:p>
        </w:tc>
        <w:tc>
          <w:tcPr>
            <w:tcW w:w="3253"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1.轧辊未停稳严禁打开防护罩；</w:t>
            </w:r>
          </w:p>
          <w:p>
            <w:pPr>
              <w:widowControl/>
              <w:jc w:val="left"/>
              <w:rPr>
                <w:rFonts w:hint="eastAsia" w:ascii="仿宋" w:hAnsi="仿宋" w:eastAsia="仿宋" w:cs="仿宋"/>
                <w:sz w:val="21"/>
                <w:szCs w:val="21"/>
              </w:rPr>
            </w:pPr>
            <w:r>
              <w:rPr>
                <w:rFonts w:hint="eastAsia" w:ascii="仿宋" w:hAnsi="仿宋" w:eastAsia="仿宋" w:cs="仿宋"/>
                <w:sz w:val="21"/>
                <w:szCs w:val="21"/>
              </w:rPr>
              <w:t>2.确保急停拉绳和急停按钮灵活、有效；</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3.严禁拆除急停拉绳和急停按钮。</w:t>
            </w:r>
          </w:p>
        </w:tc>
        <w:tc>
          <w:tcPr>
            <w:tcW w:w="3729"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45" o:spt="75" alt="" type="#_x0000_t75" style="height:123.6pt;width:155.25pt;" o:ole="t" filled="f" o:preferrelative="t" stroked="f" coordsize="21600,21600">
                  <v:path/>
                  <v:fill on="f" focussize="0,0"/>
                  <v:stroke on="f"/>
                  <v:imagedata r:id="rId89" o:title=""/>
                  <o:lock v:ext="edit" aspectratio="t"/>
                  <w10:wrap type="none"/>
                  <w10:anchorlock/>
                </v:shape>
                <o:OLEObject Type="Embed" ProgID="PBrush" ShapeID="_x0000_i1045" DrawAspect="Content" ObjectID="_1468075745" r:id="rId88">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4"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7</w:t>
            </w:r>
          </w:p>
        </w:tc>
        <w:tc>
          <w:tcPr>
            <w:tcW w:w="998"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棉纺织及印染精加工</w:t>
            </w:r>
          </w:p>
        </w:tc>
        <w:tc>
          <w:tcPr>
            <w:tcW w:w="173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烧毛机，染色皂洗机落布打卷链条部位。</w:t>
            </w:r>
          </w:p>
        </w:tc>
        <w:tc>
          <w:tcPr>
            <w:tcW w:w="187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落布打卷链条部位未设置防护罩或拆除、脱落，操作工触碰或衣物缠绕卷入容易发生绞伤。</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应安装有效的防护罩，确保防护罩完好。</w:t>
            </w:r>
          </w:p>
        </w:tc>
        <w:tc>
          <w:tcPr>
            <w:tcW w:w="325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设备运行中严禁打开防护罩。</w:t>
            </w:r>
          </w:p>
        </w:tc>
        <w:tc>
          <w:tcPr>
            <w:tcW w:w="3729"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46" o:spt="75" alt="" type="#_x0000_t75" style="height:125.7pt;width:158.15pt;" o:ole="t" filled="f" o:preferrelative="t" stroked="f" coordsize="21600,21600">
                  <v:path/>
                  <v:fill on="f" focussize="0,0"/>
                  <v:stroke on="f"/>
                  <v:imagedata r:id="rId91" o:title=""/>
                  <o:lock v:ext="edit" aspectratio="t"/>
                  <w10:wrap type="none"/>
                  <w10:anchorlock/>
                </v:shape>
                <o:OLEObject Type="Embed" ProgID="PBrush" ShapeID="_x0000_i1046" DrawAspect="Content" ObjectID="_1468075746" r:id="rId90">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4"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8</w:t>
            </w:r>
          </w:p>
        </w:tc>
        <w:tc>
          <w:tcPr>
            <w:tcW w:w="998" w:type="dxa"/>
            <w:shd w:val="clear" w:color="auto" w:fill="auto"/>
            <w:vAlign w:val="center"/>
          </w:tcPr>
          <w:p>
            <w:pPr>
              <w:widowControl/>
              <w:jc w:val="center"/>
              <w:rPr>
                <w:rFonts w:hint="eastAsia" w:ascii="仿宋" w:hAnsi="仿宋" w:eastAsia="仿宋" w:cs="仿宋"/>
                <w:sz w:val="21"/>
                <w:szCs w:val="21"/>
              </w:rPr>
            </w:pPr>
            <w:r>
              <w:rPr>
                <w:rFonts w:hint="eastAsia" w:ascii="仿宋" w:hAnsi="仿宋" w:eastAsia="仿宋" w:cs="仿宋"/>
                <w:color w:val="000000"/>
                <w:sz w:val="21"/>
                <w:szCs w:val="21"/>
              </w:rPr>
              <w:t>棉纺织及印染精加工</w:t>
            </w:r>
          </w:p>
        </w:tc>
        <w:tc>
          <w:tcPr>
            <w:tcW w:w="173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锡林抄针门、刺辊后车肚门，以及传动、旋转等部位</w:t>
            </w:r>
          </w:p>
        </w:tc>
        <w:tc>
          <w:tcPr>
            <w:tcW w:w="1871"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1.锡林道夫三角区无防护装置或联锁装置缺失、无效。</w:t>
            </w:r>
          </w:p>
          <w:p>
            <w:pPr>
              <w:widowControl/>
              <w:jc w:val="left"/>
              <w:rPr>
                <w:rFonts w:hint="eastAsia" w:ascii="仿宋" w:hAnsi="仿宋" w:eastAsia="仿宋" w:cs="仿宋"/>
                <w:sz w:val="21"/>
                <w:szCs w:val="21"/>
              </w:rPr>
            </w:pPr>
            <w:r>
              <w:rPr>
                <w:rFonts w:hint="eastAsia" w:ascii="仿宋" w:hAnsi="仿宋" w:eastAsia="仿宋" w:cs="仿宋"/>
                <w:sz w:val="21"/>
                <w:szCs w:val="21"/>
              </w:rPr>
              <w:t>2.刺辊后车肚门无防护门，联锁装置缺失、无效，无警示识，违规清洁刺辊后车肚。</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1.锡林道夫三角区应安装安全档板，采取联锁装置，当设备运转时，抄针门打不开，做到完整、可靠、有效。</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2.刺辊后车肚门安装防护装置，做到完整、有效。</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3.剥棉部位应安装安全防护罩。</w:t>
            </w:r>
          </w:p>
        </w:tc>
        <w:tc>
          <w:tcPr>
            <w:tcW w:w="3253"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1.设置安全警示标志。</w:t>
            </w:r>
          </w:p>
          <w:p>
            <w:pPr>
              <w:widowControl/>
              <w:jc w:val="left"/>
              <w:rPr>
                <w:rFonts w:hint="eastAsia" w:ascii="仿宋" w:hAnsi="仿宋" w:eastAsia="仿宋" w:cs="仿宋"/>
                <w:sz w:val="21"/>
                <w:szCs w:val="21"/>
              </w:rPr>
            </w:pPr>
            <w:r>
              <w:rPr>
                <w:rFonts w:hint="eastAsia" w:ascii="仿宋" w:hAnsi="仿宋" w:eastAsia="仿宋" w:cs="仿宋"/>
                <w:sz w:val="21"/>
                <w:szCs w:val="21"/>
              </w:rPr>
              <w:t>2.</w:t>
            </w:r>
            <w:r>
              <w:rPr>
                <w:rFonts w:hint="eastAsia" w:ascii="仿宋" w:hAnsi="仿宋" w:eastAsia="仿宋" w:cs="仿宋"/>
                <w:color w:val="000000"/>
                <w:sz w:val="21"/>
                <w:szCs w:val="21"/>
              </w:rPr>
              <w:t>定期组织对设备进行安全检查并做好记录。</w:t>
            </w:r>
          </w:p>
        </w:tc>
        <w:tc>
          <w:tcPr>
            <w:tcW w:w="3729" w:type="dxa"/>
            <w:shd w:val="clear" w:color="auto" w:fill="auto"/>
            <w:vAlign w:val="center"/>
          </w:tcPr>
          <w:p>
            <w:pPr>
              <w:widowControl/>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4"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9</w:t>
            </w:r>
          </w:p>
        </w:tc>
        <w:tc>
          <w:tcPr>
            <w:tcW w:w="998" w:type="dxa"/>
            <w:shd w:val="clear" w:color="auto" w:fill="auto"/>
            <w:vAlign w:val="center"/>
          </w:tcPr>
          <w:p>
            <w:pPr>
              <w:widowControl/>
              <w:rPr>
                <w:rFonts w:hint="eastAsia" w:ascii="仿宋" w:hAnsi="仿宋" w:eastAsia="仿宋" w:cs="仿宋"/>
                <w:sz w:val="21"/>
                <w:szCs w:val="21"/>
              </w:rPr>
            </w:pPr>
            <w:r>
              <w:rPr>
                <w:rFonts w:hint="eastAsia" w:ascii="仿宋" w:hAnsi="仿宋" w:eastAsia="仿宋" w:cs="仿宋"/>
                <w:color w:val="000000"/>
                <w:sz w:val="21"/>
                <w:szCs w:val="21"/>
              </w:rPr>
              <w:t>棉纺织及印染精加工</w:t>
            </w:r>
          </w:p>
        </w:tc>
        <w:tc>
          <w:tcPr>
            <w:tcW w:w="1731"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烘干（烘干机）</w:t>
            </w:r>
          </w:p>
        </w:tc>
        <w:tc>
          <w:tcPr>
            <w:tcW w:w="1871"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1.缺少联锁装置。</w:t>
            </w:r>
          </w:p>
          <w:p>
            <w:pPr>
              <w:widowControl/>
              <w:jc w:val="left"/>
              <w:rPr>
                <w:rFonts w:hint="eastAsia" w:ascii="仿宋" w:hAnsi="仿宋" w:eastAsia="仿宋" w:cs="仿宋"/>
                <w:sz w:val="21"/>
                <w:szCs w:val="21"/>
              </w:rPr>
            </w:pPr>
            <w:r>
              <w:rPr>
                <w:rFonts w:hint="eastAsia" w:ascii="仿宋" w:hAnsi="仿宋" w:eastAsia="仿宋" w:cs="仿宋"/>
                <w:sz w:val="21"/>
                <w:szCs w:val="21"/>
              </w:rPr>
              <w:t>2.操作失误。</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设置安全连锁防护装置。</w:t>
            </w:r>
          </w:p>
        </w:tc>
        <w:tc>
          <w:tcPr>
            <w:tcW w:w="325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1.严格执行安全操作规程。</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2.设备定期检验检测。</w:t>
            </w:r>
          </w:p>
          <w:p>
            <w:pPr>
              <w:widowControl/>
              <w:jc w:val="left"/>
              <w:rPr>
                <w:rFonts w:hint="eastAsia" w:ascii="仿宋" w:hAnsi="仿宋" w:eastAsia="仿宋" w:cs="仿宋"/>
                <w:sz w:val="21"/>
                <w:szCs w:val="21"/>
              </w:rPr>
            </w:pPr>
            <w:r>
              <w:rPr>
                <w:rFonts w:hint="eastAsia" w:ascii="仿宋" w:hAnsi="仿宋" w:eastAsia="仿宋" w:cs="仿宋"/>
                <w:color w:val="000000"/>
                <w:sz w:val="21"/>
                <w:szCs w:val="21"/>
              </w:rPr>
              <w:t>3.定期组织对设备进行安全检查并做好记录。</w:t>
            </w:r>
          </w:p>
        </w:tc>
        <w:tc>
          <w:tcPr>
            <w:tcW w:w="3729" w:type="dxa"/>
            <w:shd w:val="clear" w:color="auto" w:fill="auto"/>
            <w:vAlign w:val="center"/>
          </w:tcPr>
          <w:p>
            <w:pPr>
              <w:widowControl/>
              <w:rPr>
                <w:rFonts w:hint="eastAsia" w:ascii="仿宋" w:hAnsi="仿宋" w:eastAsia="仿宋" w:cs="仿宋"/>
                <w:sz w:val="21"/>
                <w:szCs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4"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10</w:t>
            </w:r>
          </w:p>
        </w:tc>
        <w:tc>
          <w:tcPr>
            <w:tcW w:w="998" w:type="dxa"/>
            <w:shd w:val="clear" w:color="auto" w:fill="auto"/>
            <w:vAlign w:val="center"/>
          </w:tcPr>
          <w:p>
            <w:pPr>
              <w:widowControl/>
              <w:jc w:val="center"/>
              <w:rPr>
                <w:rFonts w:hint="eastAsia" w:ascii="仿宋" w:hAnsi="仿宋" w:eastAsia="仿宋" w:cs="仿宋"/>
                <w:sz w:val="21"/>
                <w:szCs w:val="21"/>
              </w:rPr>
            </w:pPr>
            <w:r>
              <w:rPr>
                <w:rFonts w:hint="eastAsia" w:ascii="仿宋" w:hAnsi="仿宋" w:eastAsia="仿宋" w:cs="仿宋"/>
                <w:sz w:val="21"/>
                <w:szCs w:val="21"/>
              </w:rPr>
              <w:t>纺织业</w:t>
            </w:r>
          </w:p>
        </w:tc>
        <w:tc>
          <w:tcPr>
            <w:tcW w:w="1731"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打包操作</w:t>
            </w:r>
          </w:p>
        </w:tc>
        <w:tc>
          <w:tcPr>
            <w:tcW w:w="1871"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1.自停控制失灵或设备故障导致提升箱落下。</w:t>
            </w:r>
          </w:p>
          <w:p>
            <w:pPr>
              <w:widowControl/>
              <w:jc w:val="left"/>
              <w:rPr>
                <w:rFonts w:hint="eastAsia" w:ascii="仿宋" w:hAnsi="仿宋" w:eastAsia="仿宋" w:cs="仿宋"/>
                <w:sz w:val="21"/>
                <w:szCs w:val="21"/>
              </w:rPr>
            </w:pPr>
            <w:r>
              <w:rPr>
                <w:rFonts w:hint="eastAsia" w:ascii="仿宋" w:hAnsi="仿宋" w:eastAsia="仿宋" w:cs="仿宋"/>
                <w:sz w:val="21"/>
                <w:szCs w:val="21"/>
              </w:rPr>
              <w:t>2.打包时非操作人员进入工作区域。</w:t>
            </w:r>
          </w:p>
          <w:p>
            <w:pPr>
              <w:widowControl/>
              <w:jc w:val="left"/>
              <w:rPr>
                <w:rFonts w:hint="eastAsia" w:ascii="仿宋" w:hAnsi="仿宋" w:eastAsia="仿宋" w:cs="仿宋"/>
                <w:sz w:val="21"/>
                <w:szCs w:val="21"/>
              </w:rPr>
            </w:pPr>
            <w:r>
              <w:rPr>
                <w:rFonts w:hint="eastAsia" w:ascii="仿宋" w:hAnsi="仿宋" w:eastAsia="仿宋" w:cs="仿宋"/>
                <w:sz w:val="21"/>
                <w:szCs w:val="21"/>
              </w:rPr>
              <w:t>3.主压、预压上升或下降时，违章伸手操作。</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1.打包机生产运行前检查保护区自停装置，测试合格后，才能投入正常生产运行。</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2.主压上升或下降时，严禁将手伸进棉箱，严禁打开打包机观察窗往里伸手作业。</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3.预先检查包带，发现中间有明显裂缝及断股时及时去除，穿包带时注意配合，打包、出箱、过磅搬运时，人应正确站位，防止打包带崩断伤人，拆包剪断包带时，须防包带反弹伤人。</w:t>
            </w:r>
          </w:p>
        </w:tc>
        <w:tc>
          <w:tcPr>
            <w:tcW w:w="3253"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1.制定简单易行的岗位安全操作要点，并监督员工执行。</w:t>
            </w:r>
          </w:p>
          <w:p>
            <w:pPr>
              <w:widowControl/>
              <w:jc w:val="left"/>
              <w:rPr>
                <w:rFonts w:hint="eastAsia" w:ascii="仿宋" w:hAnsi="仿宋" w:eastAsia="仿宋" w:cs="仿宋"/>
                <w:sz w:val="21"/>
                <w:szCs w:val="21"/>
              </w:rPr>
            </w:pPr>
            <w:r>
              <w:rPr>
                <w:rFonts w:hint="eastAsia" w:ascii="仿宋" w:hAnsi="仿宋" w:eastAsia="仿宋" w:cs="仿宋"/>
                <w:sz w:val="21"/>
                <w:szCs w:val="21"/>
              </w:rPr>
              <w:t>2.设备、操作区域设置“当心机械伤人”安全警示标志。</w:t>
            </w:r>
          </w:p>
          <w:p>
            <w:pPr>
              <w:widowControl/>
              <w:jc w:val="left"/>
              <w:rPr>
                <w:rFonts w:hint="eastAsia" w:ascii="仿宋" w:hAnsi="仿宋" w:eastAsia="仿宋" w:cs="仿宋"/>
                <w:sz w:val="21"/>
                <w:szCs w:val="21"/>
              </w:rPr>
            </w:pPr>
            <w:r>
              <w:rPr>
                <w:rFonts w:hint="eastAsia" w:ascii="仿宋" w:hAnsi="仿宋" w:eastAsia="仿宋" w:cs="仿宋"/>
                <w:sz w:val="21"/>
                <w:szCs w:val="21"/>
              </w:rPr>
              <w:t>3.</w:t>
            </w:r>
            <w:r>
              <w:rPr>
                <w:rFonts w:hint="eastAsia" w:ascii="仿宋" w:hAnsi="仿宋" w:eastAsia="仿宋" w:cs="仿宋"/>
                <w:color w:val="000000"/>
                <w:sz w:val="21"/>
                <w:szCs w:val="21"/>
              </w:rPr>
              <w:t>打包机工作时，严禁他人进入工作区域。</w:t>
            </w:r>
          </w:p>
        </w:tc>
        <w:tc>
          <w:tcPr>
            <w:tcW w:w="3729" w:type="dxa"/>
            <w:shd w:val="clear" w:color="auto" w:fill="auto"/>
            <w:vAlign w:val="center"/>
          </w:tcPr>
          <w:p>
            <w:pPr>
              <w:widowControl/>
              <w:rPr>
                <w:rFonts w:hint="eastAsia" w:ascii="仿宋" w:hAnsi="仿宋" w:eastAsia="仿宋" w:cs="仿宋"/>
                <w:sz w:val="21"/>
                <w:szCs w:val="21"/>
                <w:highlight w:val="yellow"/>
              </w:rPr>
            </w:pPr>
          </w:p>
        </w:tc>
      </w:tr>
    </w:tbl>
    <w:p>
      <w:pPr>
        <w:rPr>
          <w:rFonts w:ascii="宋体" w:hAnsi="宋体" w:eastAsia="宋体"/>
          <w:sz w:val="28"/>
          <w:szCs w:val="32"/>
        </w:rPr>
      </w:pPr>
    </w:p>
    <w:sectPr>
      <w:pgSz w:w="16838" w:h="11906" w:orient="landscape"/>
      <w:pgMar w:top="1440" w:right="1080" w:bottom="1440" w:left="108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00007A87" w:usb1="80000000" w:usb2="00000008" w:usb3="00000000" w:csb0="400001FF" w:csb1="FFFF0000"/>
  </w:font>
  <w:font w:name="宋体">
    <w:altName w:val="方正书宋_GBK"/>
    <w:panose1 w:val="02010600030101010101"/>
    <w:charset w:val="7A"/>
    <w:family w:val="auto"/>
    <w:pitch w:val="default"/>
    <w:sig w:usb0="00000000" w:usb1="00000000" w:usb2="00000006" w:usb3="00000000" w:csb0="00040001" w:csb1="00000000"/>
  </w:font>
  <w:font w:name="Wingdings">
    <w:altName w:val="Standard Symbols PS"/>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Standard Symbols PS"/>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等线">
    <w:altName w:val="华文仿宋"/>
    <w:panose1 w:val="02010600030101010101"/>
    <w:charset w:val="86"/>
    <w:family w:val="auto"/>
    <w:pitch w:val="default"/>
    <w:sig w:usb0="00000000" w:usb1="00000000" w:usb2="00000016" w:usb3="00000000" w:csb0="0004000F" w:csb1="00000000"/>
  </w:font>
  <w:font w:name="等线">
    <w:altName w:val="仿宋_GB2312"/>
    <w:panose1 w:val="00000000000000000000"/>
    <w:charset w:val="86"/>
    <w:family w:val="auto"/>
    <w:pitch w:val="default"/>
    <w:sig w:usb0="00000000" w:usb1="00000000" w:usb2="00000000" w:usb3="00000000" w:csb0="00000000" w:csb1="00000000"/>
  </w:font>
  <w:font w:name="等线">
    <w:altName w:val="URW Bookman"/>
    <w:panose1 w:val="00000000000000000000"/>
    <w:charset w:val="00"/>
    <w:family w:val="auto"/>
    <w:pitch w:val="default"/>
    <w:sig w:usb0="00000000" w:usb1="00000000" w:usb2="00000000" w:usb3="00000000" w:csb0="00000000" w:csb1="00000000"/>
  </w:font>
  <w:font w:name="方正小标宋简体">
    <w:panose1 w:val="02000000000000000000"/>
    <w:charset w:val="86"/>
    <w:family w:val="auto"/>
    <w:pitch w:val="default"/>
    <w:sig w:usb0="A00002BF" w:usb1="184F6CFA" w:usb2="00000012" w:usb3="00000000" w:csb0="00040001" w:csb1="00000000"/>
  </w:font>
  <w:font w:name="楷体_GB2312">
    <w:panose1 w:val="02010609030101010101"/>
    <w:charset w:val="86"/>
    <w:family w:val="auto"/>
    <w:pitch w:val="default"/>
    <w:sig w:usb0="00000001" w:usb1="080E0000" w:usb2="00000000" w:usb3="00000000" w:csb0="00040000" w:csb1="00000000"/>
  </w:font>
  <w:font w:name="仿宋">
    <w:altName w:val="方正仿宋_GBK"/>
    <w:panose1 w:val="02010609060101010101"/>
    <w:charset w:val="86"/>
    <w:family w:val="auto"/>
    <w:pitch w:val="default"/>
    <w:sig w:usb0="00000000" w:usb1="00000000" w:usb2="00000016" w:usb3="00000000" w:csb0="00040001" w:csb1="00000000"/>
  </w:font>
  <w:font w:name="URW Bookman">
    <w:panose1 w:val="00000400000000000000"/>
    <w:charset w:val="00"/>
    <w:family w:val="auto"/>
    <w:pitch w:val="default"/>
    <w:sig w:usb0="00000287" w:usb1="00000800" w:usb2="00000000" w:usb3="00000000" w:csb0="6000009F" w:csb1="00000000"/>
  </w:font>
  <w:font w:name="方正黑体_GBK">
    <w:panose1 w:val="02000000000000000000"/>
    <w:charset w:val="86"/>
    <w:family w:val="auto"/>
    <w:pitch w:val="default"/>
    <w:sig w:usb0="A00002BF" w:usb1="38CF7CFA" w:usb2="00082016" w:usb3="00000000" w:csb0="00040001" w:csb1="00000000"/>
  </w:font>
  <w:font w:name="方正仿宋_GBK">
    <w:panose1 w:val="03000509000000000000"/>
    <w:charset w:val="86"/>
    <w:family w:val="auto"/>
    <w:pitch w:val="default"/>
    <w:sig w:usb0="00000001" w:usb1="080E0000" w:usb2="00000000" w:usb3="00000000" w:csb0="00040000" w:csb1="00000000"/>
  </w:font>
  <w:font w:name="方正书宋_GBK">
    <w:panose1 w:val="03000509000000000000"/>
    <w:charset w:val="86"/>
    <w:family w:val="auto"/>
    <w:pitch w:val="default"/>
    <w:sig w:usb0="00000001"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1"/>
  <w:bordersDoNotSurroundHeader w:val="true"/>
  <w:bordersDoNotSurroundFooter w:val="true"/>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E3ODExNTU3M2IwOGFhYTQwZjUxZDNjYzMwNDRiMDMifQ=="/>
  </w:docVars>
  <w:rsids>
    <w:rsidRoot w:val="00981F6C"/>
    <w:rsid w:val="00014A20"/>
    <w:rsid w:val="00036863"/>
    <w:rsid w:val="00060031"/>
    <w:rsid w:val="0006090A"/>
    <w:rsid w:val="000618CE"/>
    <w:rsid w:val="00087CE1"/>
    <w:rsid w:val="000B3556"/>
    <w:rsid w:val="000E4A5C"/>
    <w:rsid w:val="00111C11"/>
    <w:rsid w:val="001127D4"/>
    <w:rsid w:val="00145052"/>
    <w:rsid w:val="001710F0"/>
    <w:rsid w:val="00174B5E"/>
    <w:rsid w:val="001E4BA6"/>
    <w:rsid w:val="001F6A24"/>
    <w:rsid w:val="002127A7"/>
    <w:rsid w:val="00221EB7"/>
    <w:rsid w:val="002425CA"/>
    <w:rsid w:val="0024655A"/>
    <w:rsid w:val="00260E88"/>
    <w:rsid w:val="002734EC"/>
    <w:rsid w:val="002925C2"/>
    <w:rsid w:val="002A363F"/>
    <w:rsid w:val="002A7803"/>
    <w:rsid w:val="002B7BA8"/>
    <w:rsid w:val="002F0E67"/>
    <w:rsid w:val="00301654"/>
    <w:rsid w:val="00302877"/>
    <w:rsid w:val="00303977"/>
    <w:rsid w:val="003363AE"/>
    <w:rsid w:val="003A3868"/>
    <w:rsid w:val="003C60D9"/>
    <w:rsid w:val="00426A07"/>
    <w:rsid w:val="00440DDB"/>
    <w:rsid w:val="00450BC5"/>
    <w:rsid w:val="00463C95"/>
    <w:rsid w:val="004713B5"/>
    <w:rsid w:val="004F148E"/>
    <w:rsid w:val="004F4407"/>
    <w:rsid w:val="00516931"/>
    <w:rsid w:val="005173E4"/>
    <w:rsid w:val="00523DB9"/>
    <w:rsid w:val="005318D5"/>
    <w:rsid w:val="00534AFD"/>
    <w:rsid w:val="00590BDE"/>
    <w:rsid w:val="005C7612"/>
    <w:rsid w:val="005C7E98"/>
    <w:rsid w:val="005D3D57"/>
    <w:rsid w:val="005E55FA"/>
    <w:rsid w:val="005E6755"/>
    <w:rsid w:val="0060042A"/>
    <w:rsid w:val="00617E63"/>
    <w:rsid w:val="00655D71"/>
    <w:rsid w:val="00655DA2"/>
    <w:rsid w:val="006647DE"/>
    <w:rsid w:val="00664B0C"/>
    <w:rsid w:val="00674507"/>
    <w:rsid w:val="00685D5F"/>
    <w:rsid w:val="006B25E8"/>
    <w:rsid w:val="006E1AE8"/>
    <w:rsid w:val="006E4CF0"/>
    <w:rsid w:val="006F57B3"/>
    <w:rsid w:val="00757B4B"/>
    <w:rsid w:val="007802D4"/>
    <w:rsid w:val="00796987"/>
    <w:rsid w:val="007A71CC"/>
    <w:rsid w:val="007B3BE6"/>
    <w:rsid w:val="007C5B54"/>
    <w:rsid w:val="007E6240"/>
    <w:rsid w:val="007F3696"/>
    <w:rsid w:val="008230E2"/>
    <w:rsid w:val="00826593"/>
    <w:rsid w:val="00836611"/>
    <w:rsid w:val="008653DD"/>
    <w:rsid w:val="008F353A"/>
    <w:rsid w:val="00912401"/>
    <w:rsid w:val="00912B94"/>
    <w:rsid w:val="009232EF"/>
    <w:rsid w:val="00946FF0"/>
    <w:rsid w:val="00981F6C"/>
    <w:rsid w:val="009A58A2"/>
    <w:rsid w:val="009C23DC"/>
    <w:rsid w:val="009D01C0"/>
    <w:rsid w:val="009F47D7"/>
    <w:rsid w:val="00A03381"/>
    <w:rsid w:val="00A170A0"/>
    <w:rsid w:val="00A306B8"/>
    <w:rsid w:val="00A472E6"/>
    <w:rsid w:val="00A5374F"/>
    <w:rsid w:val="00A956B3"/>
    <w:rsid w:val="00AA6594"/>
    <w:rsid w:val="00AC292B"/>
    <w:rsid w:val="00AE01CA"/>
    <w:rsid w:val="00AF7FD0"/>
    <w:rsid w:val="00B34A8E"/>
    <w:rsid w:val="00B5628A"/>
    <w:rsid w:val="00B812FD"/>
    <w:rsid w:val="00B82E7D"/>
    <w:rsid w:val="00B9734A"/>
    <w:rsid w:val="00BA32A7"/>
    <w:rsid w:val="00BB7C1D"/>
    <w:rsid w:val="00BC1045"/>
    <w:rsid w:val="00BF74DB"/>
    <w:rsid w:val="00C114D1"/>
    <w:rsid w:val="00C17AA4"/>
    <w:rsid w:val="00C353C1"/>
    <w:rsid w:val="00C362DD"/>
    <w:rsid w:val="00C6410B"/>
    <w:rsid w:val="00C654A0"/>
    <w:rsid w:val="00C8706E"/>
    <w:rsid w:val="00C95327"/>
    <w:rsid w:val="00CB6912"/>
    <w:rsid w:val="00CC0C2D"/>
    <w:rsid w:val="00D4726D"/>
    <w:rsid w:val="00D60B5D"/>
    <w:rsid w:val="00D87F13"/>
    <w:rsid w:val="00D95468"/>
    <w:rsid w:val="00DF0527"/>
    <w:rsid w:val="00E34AE9"/>
    <w:rsid w:val="00E37B5B"/>
    <w:rsid w:val="00E740DB"/>
    <w:rsid w:val="00EA474E"/>
    <w:rsid w:val="00ED234C"/>
    <w:rsid w:val="00EE0B8F"/>
    <w:rsid w:val="00F008F1"/>
    <w:rsid w:val="00F222B4"/>
    <w:rsid w:val="00F44C1D"/>
    <w:rsid w:val="00F463C4"/>
    <w:rsid w:val="00F6104D"/>
    <w:rsid w:val="00FA1440"/>
    <w:rsid w:val="04276073"/>
    <w:rsid w:val="05D45367"/>
    <w:rsid w:val="1E122A78"/>
    <w:rsid w:val="25F55714"/>
    <w:rsid w:val="3D362C77"/>
    <w:rsid w:val="3FF9CB9C"/>
    <w:rsid w:val="408060EE"/>
    <w:rsid w:val="449F6565"/>
    <w:rsid w:val="49EF1C46"/>
    <w:rsid w:val="4B8544C9"/>
    <w:rsid w:val="4D5C4270"/>
    <w:rsid w:val="52384593"/>
    <w:rsid w:val="5F6D0655"/>
    <w:rsid w:val="652942A8"/>
    <w:rsid w:val="6C3A0A90"/>
    <w:rsid w:val="6F912DCA"/>
    <w:rsid w:val="72D07765"/>
    <w:rsid w:val="72EB459F"/>
    <w:rsid w:val="7BF9D740"/>
    <w:rsid w:val="BED778F4"/>
    <w:rsid w:val="FBFF52F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6">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annotation text"/>
    <w:basedOn w:val="1"/>
    <w:semiHidden/>
    <w:unhideWhenUsed/>
    <w:qFormat/>
    <w:uiPriority w:val="99"/>
    <w:pPr>
      <w:jc w:val="left"/>
    </w:pPr>
  </w:style>
  <w:style w:type="paragraph" w:styleId="3">
    <w:name w:val="footer"/>
    <w:basedOn w:val="1"/>
    <w:link w:val="9"/>
    <w:unhideWhenUsed/>
    <w:qFormat/>
    <w:uiPriority w:val="99"/>
    <w:pPr>
      <w:tabs>
        <w:tab w:val="center" w:pos="4153"/>
        <w:tab w:val="right" w:pos="8306"/>
      </w:tabs>
      <w:snapToGrid w:val="0"/>
      <w:jc w:val="left"/>
    </w:pPr>
    <w:rPr>
      <w:sz w:val="18"/>
      <w:szCs w:val="18"/>
    </w:rPr>
  </w:style>
  <w:style w:type="paragraph" w:styleId="4">
    <w:name w:val="header"/>
    <w:basedOn w:val="1"/>
    <w:link w:val="8"/>
    <w:unhideWhenUsed/>
    <w:qFormat/>
    <w:uiPriority w:val="99"/>
    <w:pPr>
      <w:pBdr>
        <w:bottom w:val="single" w:color="auto" w:sz="6" w:space="1"/>
      </w:pBdr>
      <w:tabs>
        <w:tab w:val="center" w:pos="4153"/>
        <w:tab w:val="right" w:pos="8306"/>
      </w:tabs>
      <w:snapToGrid w:val="0"/>
      <w:jc w:val="center"/>
    </w:pPr>
    <w:rPr>
      <w:sz w:val="18"/>
      <w:szCs w:val="18"/>
    </w:rPr>
  </w:style>
  <w:style w:type="character" w:styleId="7">
    <w:name w:val="annotation reference"/>
    <w:basedOn w:val="6"/>
    <w:semiHidden/>
    <w:unhideWhenUsed/>
    <w:qFormat/>
    <w:uiPriority w:val="99"/>
    <w:rPr>
      <w:sz w:val="21"/>
      <w:szCs w:val="21"/>
    </w:rPr>
  </w:style>
  <w:style w:type="character" w:customStyle="1" w:styleId="8">
    <w:name w:val="页眉 字符"/>
    <w:basedOn w:val="6"/>
    <w:link w:val="4"/>
    <w:qFormat/>
    <w:uiPriority w:val="99"/>
    <w:rPr>
      <w:sz w:val="18"/>
      <w:szCs w:val="18"/>
    </w:rPr>
  </w:style>
  <w:style w:type="character" w:customStyle="1" w:styleId="9">
    <w:name w:val="页脚 字符"/>
    <w:basedOn w:val="6"/>
    <w:link w:val="3"/>
    <w:qFormat/>
    <w:uiPriority w:val="99"/>
    <w:rPr>
      <w:sz w:val="18"/>
      <w:szCs w:val="18"/>
    </w:rPr>
  </w:style>
</w:styles>
</file>

<file path=word/_rels/document.xml.rels><?xml version="1.0" encoding="UTF-8" standalone="yes"?>
<Relationships xmlns="http://schemas.openxmlformats.org/package/2006/relationships"><Relationship Id="rId93" Type="http://schemas.openxmlformats.org/officeDocument/2006/relationships/fontTable" Target="fontTable.xml"/><Relationship Id="rId92" Type="http://schemas.openxmlformats.org/officeDocument/2006/relationships/customXml" Target="../customXml/item1.xml"/><Relationship Id="rId91" Type="http://schemas.openxmlformats.org/officeDocument/2006/relationships/image" Target="media/image66.png"/><Relationship Id="rId90" Type="http://schemas.openxmlformats.org/officeDocument/2006/relationships/oleObject" Target="embeddings/oleObject22.bin"/><Relationship Id="rId9" Type="http://schemas.openxmlformats.org/officeDocument/2006/relationships/image" Target="media/image6.jpeg"/><Relationship Id="rId89" Type="http://schemas.openxmlformats.org/officeDocument/2006/relationships/image" Target="media/image65.png"/><Relationship Id="rId88" Type="http://schemas.openxmlformats.org/officeDocument/2006/relationships/oleObject" Target="embeddings/oleObject21.bin"/><Relationship Id="rId87" Type="http://schemas.openxmlformats.org/officeDocument/2006/relationships/image" Target="media/image64.png"/><Relationship Id="rId86" Type="http://schemas.openxmlformats.org/officeDocument/2006/relationships/oleObject" Target="embeddings/oleObject20.bin"/><Relationship Id="rId85" Type="http://schemas.openxmlformats.org/officeDocument/2006/relationships/image" Target="media/image63.png"/><Relationship Id="rId84" Type="http://schemas.openxmlformats.org/officeDocument/2006/relationships/oleObject" Target="embeddings/oleObject19.bin"/><Relationship Id="rId83" Type="http://schemas.openxmlformats.org/officeDocument/2006/relationships/image" Target="media/image62.png"/><Relationship Id="rId82" Type="http://schemas.openxmlformats.org/officeDocument/2006/relationships/oleObject" Target="embeddings/oleObject18.bin"/><Relationship Id="rId81" Type="http://schemas.openxmlformats.org/officeDocument/2006/relationships/image" Target="media/image61.png"/><Relationship Id="rId80" Type="http://schemas.openxmlformats.org/officeDocument/2006/relationships/oleObject" Target="embeddings/oleObject17.bin"/><Relationship Id="rId8" Type="http://schemas.openxmlformats.org/officeDocument/2006/relationships/image" Target="media/image5.jpeg"/><Relationship Id="rId79" Type="http://schemas.openxmlformats.org/officeDocument/2006/relationships/image" Target="media/image60.png"/><Relationship Id="rId78" Type="http://schemas.openxmlformats.org/officeDocument/2006/relationships/oleObject" Target="embeddings/oleObject16.bin"/><Relationship Id="rId77" Type="http://schemas.openxmlformats.org/officeDocument/2006/relationships/image" Target="media/image59.png"/><Relationship Id="rId76" Type="http://schemas.openxmlformats.org/officeDocument/2006/relationships/oleObject" Target="embeddings/oleObject15.bin"/><Relationship Id="rId75" Type="http://schemas.openxmlformats.org/officeDocument/2006/relationships/image" Target="media/image58.png"/><Relationship Id="rId74" Type="http://schemas.openxmlformats.org/officeDocument/2006/relationships/oleObject" Target="embeddings/oleObject14.bin"/><Relationship Id="rId73" Type="http://schemas.openxmlformats.org/officeDocument/2006/relationships/image" Target="media/image57.png"/><Relationship Id="rId72" Type="http://schemas.openxmlformats.org/officeDocument/2006/relationships/image" Target="media/image56.png"/><Relationship Id="rId71" Type="http://schemas.openxmlformats.org/officeDocument/2006/relationships/image" Target="media/image55.png"/><Relationship Id="rId70" Type="http://schemas.openxmlformats.org/officeDocument/2006/relationships/image" Target="media/image54.jpeg"/><Relationship Id="rId7" Type="http://schemas.openxmlformats.org/officeDocument/2006/relationships/image" Target="media/image4.png"/><Relationship Id="rId69" Type="http://schemas.openxmlformats.org/officeDocument/2006/relationships/image" Target="media/image53.png"/><Relationship Id="rId68" Type="http://schemas.openxmlformats.org/officeDocument/2006/relationships/oleObject" Target="embeddings/oleObject13.bin"/><Relationship Id="rId67" Type="http://schemas.openxmlformats.org/officeDocument/2006/relationships/image" Target="media/image52.png"/><Relationship Id="rId66" Type="http://schemas.openxmlformats.org/officeDocument/2006/relationships/image" Target="media/image51.png"/><Relationship Id="rId65" Type="http://schemas.openxmlformats.org/officeDocument/2006/relationships/oleObject" Target="embeddings/oleObject12.bin"/><Relationship Id="rId64" Type="http://schemas.openxmlformats.org/officeDocument/2006/relationships/image" Target="media/image50.png"/><Relationship Id="rId63" Type="http://schemas.openxmlformats.org/officeDocument/2006/relationships/oleObject" Target="embeddings/oleObject11.bin"/><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image" Target="media/image3.jpeg"/><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oleObject" Target="embeddings/oleObject10.bin"/><Relationship Id="rId56" Type="http://schemas.openxmlformats.org/officeDocument/2006/relationships/image" Target="media/image44.png"/><Relationship Id="rId55" Type="http://schemas.openxmlformats.org/officeDocument/2006/relationships/oleObject" Target="embeddings/oleObject9.bin"/><Relationship Id="rId54" Type="http://schemas.openxmlformats.org/officeDocument/2006/relationships/image" Target="media/image43.png"/><Relationship Id="rId53" Type="http://schemas.openxmlformats.org/officeDocument/2006/relationships/oleObject" Target="embeddings/oleObject8.bin"/><Relationship Id="rId52" Type="http://schemas.openxmlformats.org/officeDocument/2006/relationships/image" Target="media/image42.png"/><Relationship Id="rId51" Type="http://schemas.openxmlformats.org/officeDocument/2006/relationships/oleObject" Target="embeddings/oleObject7.bin"/><Relationship Id="rId50" Type="http://schemas.openxmlformats.org/officeDocument/2006/relationships/image" Target="media/image41.png"/><Relationship Id="rId5" Type="http://schemas.openxmlformats.org/officeDocument/2006/relationships/image" Target="media/image2.png"/><Relationship Id="rId49" Type="http://schemas.openxmlformats.org/officeDocument/2006/relationships/oleObject" Target="embeddings/oleObject6.bin"/><Relationship Id="rId48" Type="http://schemas.openxmlformats.org/officeDocument/2006/relationships/image" Target="media/image40.png"/><Relationship Id="rId47" Type="http://schemas.openxmlformats.org/officeDocument/2006/relationships/oleObject" Target="embeddings/oleObject5.bin"/><Relationship Id="rId46" Type="http://schemas.openxmlformats.org/officeDocument/2006/relationships/image" Target="media/image39.png"/><Relationship Id="rId45" Type="http://schemas.openxmlformats.org/officeDocument/2006/relationships/oleObject" Target="embeddings/oleObject4.bin"/><Relationship Id="rId44" Type="http://schemas.openxmlformats.org/officeDocument/2006/relationships/image" Target="media/image38.png"/><Relationship Id="rId43" Type="http://schemas.openxmlformats.org/officeDocument/2006/relationships/oleObject" Target="embeddings/oleObject3.bin"/><Relationship Id="rId42" Type="http://schemas.openxmlformats.org/officeDocument/2006/relationships/image" Target="media/image37.png"/><Relationship Id="rId41" Type="http://schemas.openxmlformats.org/officeDocument/2006/relationships/image" Target="media/image36.jpeg"/><Relationship Id="rId40" Type="http://schemas.openxmlformats.org/officeDocument/2006/relationships/image" Target="media/image35.png"/><Relationship Id="rId4" Type="http://schemas.openxmlformats.org/officeDocument/2006/relationships/image" Target="media/image1.png"/><Relationship Id="rId39" Type="http://schemas.openxmlformats.org/officeDocument/2006/relationships/oleObject" Target="embeddings/oleObject2.bin"/><Relationship Id="rId38" Type="http://schemas.openxmlformats.org/officeDocument/2006/relationships/image" Target="media/image34.png"/><Relationship Id="rId37" Type="http://schemas.openxmlformats.org/officeDocument/2006/relationships/oleObject" Target="embeddings/oleObject1.bin"/><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jpeg"/><Relationship Id="rId11" Type="http://schemas.openxmlformats.org/officeDocument/2006/relationships/image" Target="media/image8.pn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40</Pages>
  <Words>16663</Words>
  <Characters>17229</Characters>
  <Lines>120</Lines>
  <Paragraphs>33</Paragraphs>
  <TotalTime>11</TotalTime>
  <ScaleCrop>false</ScaleCrop>
  <LinksUpToDate>false</LinksUpToDate>
  <CharactersWithSpaces>17268</CharactersWithSpaces>
  <Application>WPS Office_11.8.2.10386_F1E327BC-269C-435d-A152-05C5408002CA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2023-03-07T00:55:00Z</dcterms:created>
  <dc:creator>李 清华</dc:creator>
  <cp:lastModifiedBy>user</cp:lastModifiedBy>
  <dcterms:modified xsi:type="dcterms:W3CDTF">2023-03-27T14:54:36Z</dcterms:modified>
  <cp:revision>39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2052-11.8.2.10386</vt:lpwstr>
  </property>
  <property fmtid="{D5CDD505-2E9C-101B-9397-08002B2CF9AE}" pid="3" name="ICV">
    <vt:lpwstr>F0943342CAD34A0A83754BFB02AB30D2</vt:lpwstr>
  </property>
</Properties>
</file>