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rPr>
          <w:rFonts w:hint="eastAsia" w:ascii="黑体" w:hAnsi="黑体" w:eastAsia="黑体" w:cs="黑体"/>
          <w:color w:val="auto"/>
          <w:sz w:val="32"/>
          <w:szCs w:val="32"/>
        </w:rPr>
      </w:pPr>
      <w:bookmarkStart w:id="0" w:name="_GoBack"/>
      <w:r>
        <w:rPr>
          <w:rFonts w:hint="eastAsia" w:ascii="黑体" w:hAnsi="黑体" w:eastAsia="黑体" w:cs="黑体"/>
          <w:color w:val="auto"/>
          <w:sz w:val="32"/>
          <w:szCs w:val="32"/>
        </w:rPr>
        <w:t>附件</w:t>
      </w:r>
      <w:r>
        <w:rPr>
          <w:rFonts w:hint="eastAsia" w:ascii="黑体" w:hAnsi="黑体" w:eastAsia="黑体" w:cs="黑体"/>
          <w:color w:val="auto"/>
          <w:sz w:val="32"/>
          <w:szCs w:val="32"/>
          <w:lang w:val="en-US" w:eastAsia="zh-CN"/>
        </w:rPr>
        <w:t>2</w:t>
      </w:r>
    </w:p>
    <w:p>
      <w:pPr>
        <w:jc w:val="center"/>
        <w:rPr>
          <w:rFonts w:ascii="黑体" w:hAnsi="黑体" w:eastAsia="黑体"/>
          <w:color w:val="auto"/>
          <w:sz w:val="40"/>
          <w:szCs w:val="40"/>
        </w:rPr>
      </w:pPr>
      <w:r>
        <w:rPr>
          <w:rFonts w:hint="eastAsia" w:ascii="方正小标宋简体" w:hAnsi="方正小标宋简体" w:eastAsia="方正小标宋简体" w:cs="方正小标宋简体"/>
          <w:color w:val="auto"/>
          <w:sz w:val="44"/>
          <w:szCs w:val="44"/>
          <w:lang w:eastAsia="zh-CN"/>
        </w:rPr>
        <w:t>物体打击事故典型管控措施指导手册</w:t>
      </w:r>
    </w:p>
    <w:p>
      <w:pPr>
        <w:jc w:val="center"/>
        <w:rPr>
          <w:rFonts w:ascii="黑体" w:hAnsi="黑体" w:eastAsia="黑体"/>
          <w:color w:val="auto"/>
          <w:sz w:val="40"/>
          <w:szCs w:val="40"/>
        </w:rPr>
      </w:pPr>
    </w:p>
    <w:p>
      <w:pPr>
        <w:rPr>
          <w:rFonts w:ascii="宋体" w:hAnsi="宋体" w:eastAsia="宋体"/>
          <w:color w:val="auto"/>
          <w:sz w:val="28"/>
          <w:szCs w:val="32"/>
        </w:rPr>
      </w:pPr>
      <w:r>
        <w:rPr>
          <w:rFonts w:hint="eastAsia" w:ascii="楷体_GB2312" w:hAnsi="楷体_GB2312" w:eastAsia="楷体_GB2312" w:cs="楷体_GB2312"/>
          <w:color w:val="auto"/>
          <w:sz w:val="28"/>
          <w:szCs w:val="32"/>
        </w:rPr>
        <w:t>1.通用物体打击事故管控措施</w:t>
      </w:r>
    </w:p>
    <w:tbl>
      <w:tblPr>
        <w:tblStyle w:val="4"/>
        <w:tblW w:w="14894" w:type="dxa"/>
        <w:tblInd w:w="0" w:type="dxa"/>
        <w:tblLayout w:type="fixed"/>
        <w:tblCellMar>
          <w:top w:w="0" w:type="dxa"/>
          <w:left w:w="108" w:type="dxa"/>
          <w:bottom w:w="0" w:type="dxa"/>
          <w:right w:w="108" w:type="dxa"/>
        </w:tblCellMar>
      </w:tblPr>
      <w:tblGrid>
        <w:gridCol w:w="474"/>
        <w:gridCol w:w="1054"/>
        <w:gridCol w:w="1778"/>
        <w:gridCol w:w="2058"/>
        <w:gridCol w:w="2606"/>
        <w:gridCol w:w="3179"/>
        <w:gridCol w:w="3745"/>
      </w:tblGrid>
      <w:tr>
        <w:tblPrEx>
          <w:tblCellMar>
            <w:top w:w="0" w:type="dxa"/>
            <w:left w:w="108" w:type="dxa"/>
            <w:bottom w:w="0" w:type="dxa"/>
            <w:right w:w="108" w:type="dxa"/>
          </w:tblCellMar>
        </w:tblPrEx>
        <w:trPr>
          <w:trHeight w:val="680" w:hRule="atLeast"/>
        </w:trPr>
        <w:tc>
          <w:tcPr>
            <w:tcW w:w="474"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rPr>
                <w:rFonts w:hint="eastAsia" w:ascii="黑体" w:hAnsi="黑体" w:eastAsia="黑体" w:cs="黑体"/>
                <w:color w:val="auto"/>
                <w:kern w:val="0"/>
                <w:szCs w:val="21"/>
              </w:rPr>
            </w:pPr>
            <w:r>
              <w:rPr>
                <w:rFonts w:hint="eastAsia" w:ascii="黑体" w:hAnsi="黑体" w:eastAsia="黑体" w:cs="黑体"/>
                <w:color w:val="auto"/>
                <w:kern w:val="0"/>
                <w:szCs w:val="21"/>
              </w:rPr>
              <w:t>序号</w:t>
            </w:r>
          </w:p>
        </w:tc>
        <w:tc>
          <w:tcPr>
            <w:tcW w:w="1054" w:type="dxa"/>
            <w:tcBorders>
              <w:top w:val="single" w:color="auto" w:sz="4" w:space="0"/>
              <w:left w:val="nil"/>
              <w:bottom w:val="single" w:color="auto" w:sz="4" w:space="0"/>
              <w:right w:val="single" w:color="auto" w:sz="4" w:space="0"/>
            </w:tcBorders>
            <w:shd w:val="clear" w:color="auto" w:fill="auto"/>
            <w:vAlign w:val="center"/>
          </w:tcPr>
          <w:p>
            <w:pPr>
              <w:widowControl/>
              <w:jc w:val="center"/>
              <w:rPr>
                <w:rFonts w:hint="eastAsia" w:ascii="黑体" w:hAnsi="黑体" w:eastAsia="黑体" w:cs="黑体"/>
                <w:color w:val="auto"/>
                <w:kern w:val="0"/>
                <w:szCs w:val="21"/>
              </w:rPr>
            </w:pPr>
            <w:r>
              <w:rPr>
                <w:rFonts w:hint="eastAsia" w:ascii="黑体" w:hAnsi="黑体" w:eastAsia="黑体" w:cs="黑体"/>
                <w:color w:val="auto"/>
                <w:kern w:val="0"/>
                <w:szCs w:val="21"/>
              </w:rPr>
              <w:t>危险部件分类</w:t>
            </w:r>
          </w:p>
        </w:tc>
        <w:tc>
          <w:tcPr>
            <w:tcW w:w="1778" w:type="dxa"/>
            <w:tcBorders>
              <w:top w:val="single" w:color="auto" w:sz="4" w:space="0"/>
              <w:left w:val="nil"/>
              <w:bottom w:val="single" w:color="auto" w:sz="4" w:space="0"/>
              <w:right w:val="single" w:color="auto" w:sz="4" w:space="0"/>
            </w:tcBorders>
            <w:shd w:val="clear" w:color="auto" w:fill="auto"/>
            <w:vAlign w:val="center"/>
          </w:tcPr>
          <w:p>
            <w:pPr>
              <w:widowControl/>
              <w:jc w:val="center"/>
              <w:rPr>
                <w:rFonts w:hint="eastAsia" w:ascii="黑体" w:hAnsi="黑体" w:eastAsia="黑体" w:cs="黑体"/>
                <w:color w:val="auto"/>
                <w:kern w:val="0"/>
                <w:szCs w:val="21"/>
              </w:rPr>
            </w:pPr>
            <w:r>
              <w:rPr>
                <w:rFonts w:hint="eastAsia" w:ascii="黑体" w:hAnsi="黑体" w:eastAsia="黑体" w:cs="黑体"/>
                <w:color w:val="auto"/>
                <w:kern w:val="0"/>
                <w:szCs w:val="21"/>
              </w:rPr>
              <w:t>典型设备设施或作业活动举例</w:t>
            </w:r>
          </w:p>
        </w:tc>
        <w:tc>
          <w:tcPr>
            <w:tcW w:w="2058" w:type="dxa"/>
            <w:tcBorders>
              <w:top w:val="single" w:color="auto" w:sz="4" w:space="0"/>
              <w:left w:val="nil"/>
              <w:bottom w:val="single" w:color="auto" w:sz="4" w:space="0"/>
              <w:right w:val="single" w:color="auto" w:sz="4" w:space="0"/>
            </w:tcBorders>
            <w:shd w:val="clear" w:color="auto" w:fill="auto"/>
            <w:vAlign w:val="center"/>
          </w:tcPr>
          <w:p>
            <w:pPr>
              <w:widowControl/>
              <w:jc w:val="center"/>
              <w:rPr>
                <w:rFonts w:hint="eastAsia" w:ascii="黑体" w:hAnsi="黑体" w:eastAsia="黑体" w:cs="黑体"/>
                <w:color w:val="auto"/>
                <w:kern w:val="0"/>
                <w:szCs w:val="21"/>
              </w:rPr>
            </w:pPr>
            <w:r>
              <w:rPr>
                <w:rFonts w:hint="eastAsia" w:ascii="黑体" w:hAnsi="黑体" w:eastAsia="黑体" w:cs="黑体"/>
                <w:color w:val="auto"/>
                <w:kern w:val="0"/>
                <w:szCs w:val="21"/>
              </w:rPr>
              <w:t>事故原因</w:t>
            </w:r>
          </w:p>
        </w:tc>
        <w:tc>
          <w:tcPr>
            <w:tcW w:w="2606" w:type="dxa"/>
            <w:tcBorders>
              <w:top w:val="single" w:color="auto" w:sz="4" w:space="0"/>
              <w:left w:val="nil"/>
              <w:bottom w:val="single" w:color="auto" w:sz="4" w:space="0"/>
              <w:right w:val="single" w:color="auto" w:sz="4" w:space="0"/>
            </w:tcBorders>
            <w:shd w:val="clear" w:color="auto" w:fill="auto"/>
            <w:vAlign w:val="center"/>
          </w:tcPr>
          <w:p>
            <w:pPr>
              <w:widowControl/>
              <w:jc w:val="center"/>
              <w:rPr>
                <w:rFonts w:hint="eastAsia" w:ascii="黑体" w:hAnsi="黑体" w:eastAsia="黑体" w:cs="黑体"/>
                <w:color w:val="auto"/>
                <w:kern w:val="0"/>
                <w:szCs w:val="21"/>
              </w:rPr>
            </w:pPr>
            <w:r>
              <w:rPr>
                <w:rFonts w:hint="eastAsia" w:ascii="黑体" w:hAnsi="黑体" w:eastAsia="黑体" w:cs="黑体"/>
                <w:color w:val="auto"/>
                <w:kern w:val="0"/>
                <w:szCs w:val="21"/>
              </w:rPr>
              <w:t>典型工程技术措施</w:t>
            </w:r>
          </w:p>
        </w:tc>
        <w:tc>
          <w:tcPr>
            <w:tcW w:w="3179" w:type="dxa"/>
            <w:tcBorders>
              <w:top w:val="single" w:color="auto" w:sz="4" w:space="0"/>
              <w:left w:val="nil"/>
              <w:bottom w:val="single" w:color="auto" w:sz="4" w:space="0"/>
              <w:right w:val="single" w:color="auto" w:sz="4" w:space="0"/>
            </w:tcBorders>
            <w:shd w:val="clear" w:color="auto" w:fill="auto"/>
            <w:vAlign w:val="center"/>
          </w:tcPr>
          <w:p>
            <w:pPr>
              <w:widowControl/>
              <w:jc w:val="center"/>
              <w:rPr>
                <w:rFonts w:hint="eastAsia" w:ascii="黑体" w:hAnsi="黑体" w:eastAsia="黑体" w:cs="黑体"/>
                <w:color w:val="auto"/>
                <w:kern w:val="0"/>
                <w:szCs w:val="21"/>
              </w:rPr>
            </w:pPr>
            <w:r>
              <w:rPr>
                <w:rFonts w:hint="eastAsia" w:ascii="黑体" w:hAnsi="黑体" w:eastAsia="黑体" w:cs="黑体"/>
                <w:color w:val="auto"/>
                <w:kern w:val="0"/>
                <w:szCs w:val="21"/>
              </w:rPr>
              <w:t>典型管理措施</w:t>
            </w:r>
          </w:p>
        </w:tc>
        <w:tc>
          <w:tcPr>
            <w:tcW w:w="3745" w:type="dxa"/>
            <w:tcBorders>
              <w:top w:val="single" w:color="auto" w:sz="4" w:space="0"/>
              <w:left w:val="nil"/>
              <w:bottom w:val="single" w:color="auto" w:sz="4" w:space="0"/>
              <w:right w:val="single" w:color="auto" w:sz="4" w:space="0"/>
            </w:tcBorders>
            <w:shd w:val="clear" w:color="auto" w:fill="auto"/>
            <w:vAlign w:val="center"/>
          </w:tcPr>
          <w:p>
            <w:pPr>
              <w:widowControl/>
              <w:jc w:val="center"/>
              <w:rPr>
                <w:rFonts w:hint="eastAsia" w:ascii="黑体" w:hAnsi="黑体" w:eastAsia="黑体" w:cs="黑体"/>
                <w:color w:val="auto"/>
                <w:kern w:val="0"/>
                <w:szCs w:val="21"/>
              </w:rPr>
            </w:pPr>
            <w:r>
              <w:rPr>
                <w:rFonts w:hint="eastAsia" w:ascii="黑体" w:hAnsi="黑体" w:eastAsia="黑体" w:cs="黑体"/>
                <w:color w:val="auto"/>
                <w:kern w:val="0"/>
                <w:szCs w:val="21"/>
                <w:lang w:val="en-US" w:eastAsia="zh-CN"/>
              </w:rPr>
              <w:t>典型</w:t>
            </w:r>
            <w:r>
              <w:rPr>
                <w:rFonts w:hint="eastAsia" w:ascii="黑体" w:hAnsi="黑体" w:eastAsia="黑体" w:cs="黑体"/>
                <w:color w:val="auto"/>
                <w:kern w:val="0"/>
                <w:szCs w:val="21"/>
              </w:rPr>
              <w:t>示例</w:t>
            </w:r>
          </w:p>
        </w:tc>
      </w:tr>
      <w:tr>
        <w:tblPrEx>
          <w:tblCellMar>
            <w:top w:w="0" w:type="dxa"/>
            <w:left w:w="108" w:type="dxa"/>
            <w:bottom w:w="0" w:type="dxa"/>
            <w:right w:w="108" w:type="dxa"/>
          </w:tblCellMar>
        </w:tblPrEx>
        <w:trPr>
          <w:trHeight w:val="680" w:hRule="atLeast"/>
        </w:trPr>
        <w:tc>
          <w:tcPr>
            <w:tcW w:w="474"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rPr>
                <w:rFonts w:hint="eastAsia" w:ascii="仿宋" w:hAnsi="仿宋" w:eastAsia="仿宋" w:cs="仿宋"/>
                <w:b/>
                <w:bCs/>
                <w:color w:val="auto"/>
                <w:kern w:val="0"/>
                <w:szCs w:val="21"/>
              </w:rPr>
            </w:pPr>
            <w:r>
              <w:rPr>
                <w:rFonts w:hint="eastAsia" w:ascii="仿宋" w:hAnsi="仿宋" w:eastAsia="仿宋" w:cs="仿宋"/>
                <w:color w:val="auto"/>
                <w:szCs w:val="21"/>
              </w:rPr>
              <w:t>1</w:t>
            </w:r>
          </w:p>
        </w:tc>
        <w:tc>
          <w:tcPr>
            <w:tcW w:w="1054" w:type="dxa"/>
            <w:tcBorders>
              <w:top w:val="single" w:color="auto" w:sz="4" w:space="0"/>
              <w:left w:val="nil"/>
              <w:bottom w:val="single" w:color="auto" w:sz="4" w:space="0"/>
              <w:right w:val="single" w:color="auto" w:sz="4" w:space="0"/>
            </w:tcBorders>
            <w:shd w:val="clear" w:color="auto" w:fill="auto"/>
            <w:vAlign w:val="center"/>
          </w:tcPr>
          <w:p>
            <w:pPr>
              <w:widowControl/>
              <w:jc w:val="left"/>
              <w:rPr>
                <w:rFonts w:hint="eastAsia" w:ascii="仿宋" w:hAnsi="仿宋" w:eastAsia="仿宋" w:cs="仿宋"/>
                <w:b/>
                <w:bCs/>
                <w:color w:val="auto"/>
                <w:kern w:val="0"/>
                <w:szCs w:val="21"/>
              </w:rPr>
            </w:pPr>
            <w:r>
              <w:rPr>
                <w:rFonts w:hint="eastAsia" w:ascii="仿宋" w:hAnsi="仿宋" w:eastAsia="仿宋" w:cs="仿宋"/>
                <w:color w:val="auto"/>
                <w:szCs w:val="21"/>
              </w:rPr>
              <w:t>势能或惯性</w:t>
            </w:r>
          </w:p>
        </w:tc>
        <w:tc>
          <w:tcPr>
            <w:tcW w:w="1778" w:type="dxa"/>
            <w:tcBorders>
              <w:top w:val="single" w:color="auto" w:sz="4" w:space="0"/>
              <w:left w:val="nil"/>
              <w:bottom w:val="single" w:color="auto" w:sz="4" w:space="0"/>
              <w:right w:val="single" w:color="auto" w:sz="4" w:space="0"/>
            </w:tcBorders>
            <w:shd w:val="clear" w:color="auto" w:fill="auto"/>
            <w:vAlign w:val="center"/>
          </w:tcPr>
          <w:p>
            <w:pPr>
              <w:widowControl/>
              <w:jc w:val="left"/>
              <w:rPr>
                <w:rFonts w:hint="eastAsia" w:ascii="仿宋" w:hAnsi="仿宋" w:eastAsia="仿宋" w:cs="仿宋"/>
                <w:b/>
                <w:bCs/>
                <w:color w:val="auto"/>
                <w:kern w:val="0"/>
                <w:szCs w:val="21"/>
              </w:rPr>
            </w:pPr>
            <w:r>
              <w:rPr>
                <w:rFonts w:hint="eastAsia" w:ascii="仿宋" w:hAnsi="仿宋" w:eastAsia="仿宋" w:cs="仿宋"/>
                <w:color w:val="auto"/>
                <w:szCs w:val="21"/>
              </w:rPr>
              <w:t>机械加工设备零部件夹持不牢、起重机吊运作业、高处作业。</w:t>
            </w:r>
          </w:p>
        </w:tc>
        <w:tc>
          <w:tcPr>
            <w:tcW w:w="2058" w:type="dxa"/>
            <w:tcBorders>
              <w:top w:val="single" w:color="auto" w:sz="4" w:space="0"/>
              <w:left w:val="nil"/>
              <w:bottom w:val="single" w:color="auto" w:sz="4" w:space="0"/>
              <w:right w:val="single" w:color="auto" w:sz="4" w:space="0"/>
            </w:tcBorders>
            <w:shd w:val="clear" w:color="auto" w:fill="auto"/>
            <w:vAlign w:val="center"/>
          </w:tcPr>
          <w:p>
            <w:pPr>
              <w:widowControl/>
              <w:jc w:val="left"/>
              <w:rPr>
                <w:rFonts w:hint="eastAsia" w:ascii="仿宋" w:hAnsi="仿宋" w:eastAsia="仿宋" w:cs="仿宋"/>
                <w:color w:val="auto"/>
                <w:szCs w:val="21"/>
              </w:rPr>
            </w:pPr>
            <w:r>
              <w:rPr>
                <w:rFonts w:hint="eastAsia" w:ascii="仿宋" w:hAnsi="仿宋" w:eastAsia="仿宋" w:cs="仿宋"/>
                <w:color w:val="auto"/>
                <w:szCs w:val="21"/>
              </w:rPr>
              <w:t>1.跨越人员作业区域上方吊运作业；吊装、拆装时物料掉落；机械零部件或加工物料意外甩脱抛出。</w:t>
            </w:r>
          </w:p>
          <w:p>
            <w:pPr>
              <w:widowControl/>
              <w:jc w:val="left"/>
              <w:rPr>
                <w:rFonts w:hint="eastAsia" w:ascii="仿宋" w:hAnsi="仿宋" w:eastAsia="仿宋" w:cs="仿宋"/>
                <w:color w:val="auto"/>
                <w:szCs w:val="21"/>
              </w:rPr>
            </w:pPr>
            <w:r>
              <w:rPr>
                <w:rFonts w:hint="eastAsia" w:ascii="仿宋" w:hAnsi="仿宋" w:eastAsia="仿宋" w:cs="仿宋"/>
                <w:color w:val="auto"/>
                <w:szCs w:val="21"/>
              </w:rPr>
              <w:t>2.人员误入正在下降的设施发生挤压、打击事故。</w:t>
            </w:r>
          </w:p>
          <w:p>
            <w:pPr>
              <w:widowControl/>
              <w:jc w:val="left"/>
              <w:rPr>
                <w:rFonts w:hint="eastAsia" w:ascii="仿宋" w:hAnsi="仿宋" w:eastAsia="仿宋" w:cs="仿宋"/>
                <w:color w:val="auto"/>
                <w:szCs w:val="21"/>
              </w:rPr>
            </w:pPr>
            <w:r>
              <w:rPr>
                <w:rFonts w:hint="eastAsia" w:ascii="仿宋" w:hAnsi="仿宋" w:eastAsia="仿宋" w:cs="仿宋"/>
                <w:color w:val="auto"/>
                <w:szCs w:val="21"/>
              </w:rPr>
              <w:t>3.高处扔接工器具或传递物失手；高处放置物品落下伤人。</w:t>
            </w:r>
          </w:p>
          <w:p>
            <w:pPr>
              <w:widowControl/>
              <w:jc w:val="left"/>
              <w:rPr>
                <w:rFonts w:hint="eastAsia" w:ascii="仿宋" w:hAnsi="仿宋" w:eastAsia="仿宋" w:cs="仿宋"/>
                <w:color w:val="auto"/>
                <w:szCs w:val="21"/>
              </w:rPr>
            </w:pPr>
            <w:r>
              <w:rPr>
                <w:rFonts w:hint="eastAsia" w:ascii="仿宋" w:hAnsi="仿宋" w:eastAsia="仿宋" w:cs="仿宋"/>
                <w:color w:val="auto"/>
                <w:szCs w:val="21"/>
              </w:rPr>
              <w:t>4.吊臂支撑工位、平台与墙、柱连接构件断裂坠落。</w:t>
            </w:r>
          </w:p>
          <w:p>
            <w:pPr>
              <w:widowControl/>
              <w:jc w:val="left"/>
              <w:rPr>
                <w:rFonts w:hint="eastAsia" w:ascii="仿宋" w:hAnsi="仿宋" w:eastAsia="仿宋" w:cs="仿宋"/>
                <w:b/>
                <w:bCs/>
                <w:color w:val="auto"/>
                <w:kern w:val="0"/>
                <w:szCs w:val="21"/>
              </w:rPr>
            </w:pPr>
            <w:r>
              <w:rPr>
                <w:rFonts w:hint="eastAsia" w:ascii="仿宋" w:hAnsi="仿宋" w:eastAsia="仿宋" w:cs="仿宋"/>
                <w:color w:val="auto"/>
                <w:szCs w:val="21"/>
              </w:rPr>
              <w:t>5.设备部件、工件松动、脱落等意外飞出。</w:t>
            </w:r>
          </w:p>
        </w:tc>
        <w:tc>
          <w:tcPr>
            <w:tcW w:w="2606" w:type="dxa"/>
            <w:tcBorders>
              <w:top w:val="single" w:color="auto" w:sz="4" w:space="0"/>
              <w:left w:val="nil"/>
              <w:bottom w:val="single" w:color="auto" w:sz="4" w:space="0"/>
              <w:right w:val="single" w:color="auto" w:sz="4" w:space="0"/>
            </w:tcBorders>
            <w:shd w:val="clear" w:color="auto" w:fill="auto"/>
            <w:vAlign w:val="center"/>
          </w:tcPr>
          <w:p>
            <w:pPr>
              <w:widowControl/>
              <w:jc w:val="left"/>
              <w:rPr>
                <w:rFonts w:hint="eastAsia" w:ascii="仿宋" w:hAnsi="仿宋" w:eastAsia="仿宋" w:cs="仿宋"/>
                <w:color w:val="auto"/>
                <w:szCs w:val="21"/>
              </w:rPr>
            </w:pPr>
            <w:r>
              <w:rPr>
                <w:rFonts w:hint="eastAsia" w:ascii="仿宋" w:hAnsi="仿宋" w:eastAsia="仿宋" w:cs="仿宋"/>
                <w:color w:val="auto"/>
                <w:szCs w:val="21"/>
              </w:rPr>
              <w:t>1.机械部件、工件固定牢固，防护罩（网）完好有效。</w:t>
            </w:r>
          </w:p>
          <w:p>
            <w:pPr>
              <w:widowControl/>
              <w:jc w:val="left"/>
              <w:rPr>
                <w:rFonts w:hint="eastAsia" w:ascii="仿宋" w:hAnsi="仿宋" w:eastAsia="仿宋" w:cs="仿宋"/>
                <w:color w:val="auto"/>
                <w:szCs w:val="21"/>
              </w:rPr>
            </w:pPr>
            <w:r>
              <w:rPr>
                <w:rFonts w:hint="eastAsia" w:ascii="仿宋" w:hAnsi="仿宋" w:eastAsia="仿宋" w:cs="仿宋"/>
                <w:color w:val="auto"/>
                <w:szCs w:val="21"/>
              </w:rPr>
              <w:t>2.起重机设置声、光信号的保险装置；起重机有效设置起升高度限位器、起重量限制器、吊钩防松脱装置。</w:t>
            </w:r>
          </w:p>
          <w:p>
            <w:pPr>
              <w:widowControl/>
              <w:jc w:val="left"/>
              <w:rPr>
                <w:rFonts w:hint="eastAsia" w:ascii="仿宋" w:hAnsi="仿宋" w:eastAsia="仿宋" w:cs="仿宋"/>
                <w:color w:val="auto"/>
                <w:szCs w:val="21"/>
              </w:rPr>
            </w:pPr>
            <w:r>
              <w:rPr>
                <w:rFonts w:hint="eastAsia" w:ascii="仿宋" w:hAnsi="仿宋" w:eastAsia="仿宋" w:cs="仿宋"/>
                <w:color w:val="auto"/>
                <w:szCs w:val="21"/>
              </w:rPr>
              <w:t>3.起重钢丝绳卷筒、钢丝绳端部固定装置完好有效。</w:t>
            </w:r>
          </w:p>
          <w:p>
            <w:pPr>
              <w:widowControl/>
              <w:jc w:val="left"/>
              <w:rPr>
                <w:rFonts w:hint="eastAsia" w:ascii="仿宋" w:hAnsi="仿宋" w:eastAsia="仿宋" w:cs="仿宋"/>
                <w:color w:val="auto"/>
                <w:szCs w:val="21"/>
              </w:rPr>
            </w:pPr>
            <w:r>
              <w:rPr>
                <w:rFonts w:hint="eastAsia" w:ascii="仿宋" w:hAnsi="仿宋" w:eastAsia="仿宋" w:cs="仿宋"/>
                <w:color w:val="auto"/>
                <w:szCs w:val="21"/>
              </w:rPr>
              <w:t>4.高处作业工位、平台连接构件设置冗余备用连接构件。动力旋转工位、平台采取限位措施。</w:t>
            </w:r>
          </w:p>
          <w:p>
            <w:pPr>
              <w:widowControl/>
              <w:jc w:val="left"/>
              <w:rPr>
                <w:rFonts w:hint="eastAsia" w:ascii="仿宋" w:hAnsi="仿宋" w:eastAsia="仿宋" w:cs="仿宋"/>
                <w:b/>
                <w:bCs/>
                <w:color w:val="auto"/>
                <w:kern w:val="0"/>
                <w:szCs w:val="21"/>
              </w:rPr>
            </w:pPr>
            <w:r>
              <w:rPr>
                <w:rFonts w:hint="eastAsia" w:ascii="仿宋" w:hAnsi="仿宋" w:eastAsia="仿宋" w:cs="仿宋"/>
                <w:color w:val="auto"/>
                <w:szCs w:val="21"/>
              </w:rPr>
              <w:t>5.对可能发生工部件意外飞出的设备设施设置强度可靠的防护罩或防护网。</w:t>
            </w:r>
          </w:p>
        </w:tc>
        <w:tc>
          <w:tcPr>
            <w:tcW w:w="3179" w:type="dxa"/>
            <w:tcBorders>
              <w:top w:val="single" w:color="auto" w:sz="4" w:space="0"/>
              <w:left w:val="nil"/>
              <w:bottom w:val="single" w:color="auto" w:sz="4" w:space="0"/>
              <w:right w:val="single" w:color="auto" w:sz="4" w:space="0"/>
            </w:tcBorders>
            <w:shd w:val="clear" w:color="auto" w:fill="auto"/>
            <w:vAlign w:val="center"/>
          </w:tcPr>
          <w:p>
            <w:pPr>
              <w:widowControl/>
              <w:jc w:val="left"/>
              <w:rPr>
                <w:rFonts w:hint="eastAsia" w:ascii="仿宋" w:hAnsi="仿宋" w:eastAsia="仿宋" w:cs="仿宋"/>
                <w:color w:val="auto"/>
                <w:szCs w:val="21"/>
              </w:rPr>
            </w:pPr>
            <w:r>
              <w:rPr>
                <w:rFonts w:hint="eastAsia" w:ascii="仿宋" w:hAnsi="仿宋" w:eastAsia="仿宋" w:cs="仿宋"/>
                <w:color w:val="auto"/>
                <w:szCs w:val="21"/>
              </w:rPr>
              <w:t>1.制定简单易行的岗位安全操作要点、应急处置办法，并监督员工执行。</w:t>
            </w:r>
          </w:p>
          <w:p>
            <w:pPr>
              <w:widowControl/>
              <w:jc w:val="left"/>
              <w:rPr>
                <w:rFonts w:hint="eastAsia" w:ascii="仿宋" w:hAnsi="仿宋" w:eastAsia="仿宋" w:cs="仿宋"/>
                <w:color w:val="auto"/>
                <w:szCs w:val="21"/>
              </w:rPr>
            </w:pPr>
            <w:r>
              <w:rPr>
                <w:rFonts w:hint="eastAsia" w:ascii="仿宋" w:hAnsi="仿宋" w:eastAsia="仿宋" w:cs="仿宋"/>
                <w:color w:val="auto"/>
                <w:szCs w:val="21"/>
              </w:rPr>
              <w:t>2.按规定对起重设备定期检查、检验；对设备定期维护保养和隐患排查。</w:t>
            </w:r>
          </w:p>
          <w:p>
            <w:pPr>
              <w:widowControl/>
              <w:jc w:val="left"/>
              <w:rPr>
                <w:rFonts w:hint="eastAsia" w:ascii="仿宋" w:hAnsi="仿宋" w:eastAsia="仿宋" w:cs="仿宋"/>
                <w:color w:val="auto"/>
                <w:szCs w:val="21"/>
              </w:rPr>
            </w:pPr>
            <w:r>
              <w:rPr>
                <w:rFonts w:hint="eastAsia" w:ascii="仿宋" w:hAnsi="仿宋" w:eastAsia="仿宋" w:cs="仿宋"/>
                <w:color w:val="auto"/>
                <w:szCs w:val="21"/>
              </w:rPr>
              <w:t>3.吊装作业区设置“当心吊物”安全警示标志。定期检查、维护保养起重吊索具；严格执行“十不吊”。</w:t>
            </w:r>
          </w:p>
          <w:p>
            <w:pPr>
              <w:widowControl/>
              <w:jc w:val="left"/>
              <w:rPr>
                <w:rFonts w:hint="eastAsia" w:ascii="仿宋" w:hAnsi="仿宋" w:eastAsia="仿宋" w:cs="仿宋"/>
                <w:color w:val="auto"/>
                <w:szCs w:val="21"/>
              </w:rPr>
            </w:pPr>
            <w:r>
              <w:rPr>
                <w:rFonts w:hint="eastAsia" w:ascii="仿宋" w:hAnsi="仿宋" w:eastAsia="仿宋" w:cs="仿宋"/>
                <w:color w:val="auto"/>
                <w:szCs w:val="21"/>
              </w:rPr>
              <w:t>4.正确佩戴安全帽、防护目镜等防打击劳保用品。</w:t>
            </w:r>
          </w:p>
          <w:p>
            <w:pPr>
              <w:widowControl/>
              <w:jc w:val="left"/>
              <w:rPr>
                <w:rFonts w:hint="eastAsia" w:ascii="仿宋" w:hAnsi="仿宋" w:eastAsia="仿宋" w:cs="仿宋"/>
                <w:color w:val="auto"/>
                <w:szCs w:val="21"/>
              </w:rPr>
            </w:pPr>
            <w:r>
              <w:rPr>
                <w:rFonts w:hint="eastAsia" w:ascii="仿宋" w:hAnsi="仿宋" w:eastAsia="仿宋" w:cs="仿宋"/>
                <w:color w:val="auto"/>
                <w:szCs w:val="21"/>
              </w:rPr>
              <w:t>5.对作业特别注意事项进行现场公示（特别是岗位或区域发生过事故的部位）。</w:t>
            </w:r>
          </w:p>
          <w:p>
            <w:pPr>
              <w:widowControl/>
              <w:jc w:val="left"/>
              <w:rPr>
                <w:rFonts w:hint="eastAsia" w:ascii="仿宋" w:hAnsi="仿宋" w:eastAsia="仿宋" w:cs="仿宋"/>
                <w:b/>
                <w:bCs/>
                <w:color w:val="auto"/>
                <w:kern w:val="0"/>
                <w:szCs w:val="21"/>
              </w:rPr>
            </w:pPr>
            <w:r>
              <w:rPr>
                <w:rFonts w:hint="eastAsia" w:ascii="仿宋" w:hAnsi="仿宋" w:eastAsia="仿宋" w:cs="仿宋"/>
                <w:color w:val="auto"/>
                <w:szCs w:val="21"/>
              </w:rPr>
              <w:t>6.工艺生产过程存在异常工况操作的如机械行业存在对回弹的钢管进行调整作业，企业需要明确操作要求如先停止后方送料再作业或用专用工具远距离调整等，防止伤害事故。</w:t>
            </w:r>
          </w:p>
        </w:tc>
        <w:tc>
          <w:tcPr>
            <w:tcW w:w="3745" w:type="dxa"/>
            <w:tcBorders>
              <w:top w:val="single" w:color="auto" w:sz="4" w:space="0"/>
              <w:left w:val="nil"/>
              <w:bottom w:val="single" w:color="auto" w:sz="4" w:space="0"/>
              <w:right w:val="single" w:color="auto" w:sz="4" w:space="0"/>
            </w:tcBorders>
            <w:shd w:val="clear" w:color="auto" w:fill="auto"/>
            <w:vAlign w:val="center"/>
          </w:tcPr>
          <w:p>
            <w:pPr>
              <w:widowControl/>
              <w:jc w:val="center"/>
              <w:rPr>
                <w:rFonts w:hint="eastAsia" w:ascii="仿宋" w:hAnsi="仿宋" w:eastAsia="仿宋" w:cs="仿宋"/>
                <w:color w:val="auto"/>
              </w:rPr>
            </w:pPr>
            <w:r>
              <w:rPr>
                <w:rFonts w:hint="eastAsia" w:ascii="仿宋" w:hAnsi="仿宋" w:eastAsia="仿宋" w:cs="仿宋"/>
                <w:color w:val="auto"/>
              </w:rPr>
              <w:drawing>
                <wp:inline distT="0" distB="0" distL="114300" distR="114300">
                  <wp:extent cx="1880870" cy="1775460"/>
                  <wp:effectExtent l="0" t="0" r="11430" b="2540"/>
                  <wp:docPr id="2"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8"/>
                          <pic:cNvPicPr>
                            <a:picLocks noChangeAspect="1"/>
                          </pic:cNvPicPr>
                        </pic:nvPicPr>
                        <pic:blipFill>
                          <a:blip r:embed="rId4"/>
                          <a:stretch>
                            <a:fillRect/>
                          </a:stretch>
                        </pic:blipFill>
                        <pic:spPr>
                          <a:xfrm>
                            <a:off x="0" y="0"/>
                            <a:ext cx="1880870" cy="1775460"/>
                          </a:xfrm>
                          <a:prstGeom prst="rect">
                            <a:avLst/>
                          </a:prstGeom>
                          <a:noFill/>
                          <a:ln>
                            <a:noFill/>
                          </a:ln>
                        </pic:spPr>
                      </pic:pic>
                    </a:graphicData>
                  </a:graphic>
                </wp:inline>
              </w:drawing>
            </w:r>
            <w:r>
              <w:rPr>
                <w:rFonts w:hint="eastAsia" w:ascii="仿宋" w:hAnsi="仿宋" w:eastAsia="仿宋" w:cs="仿宋"/>
                <w:color w:val="auto"/>
              </w:rPr>
              <w:drawing>
                <wp:inline distT="0" distB="0" distL="114300" distR="114300">
                  <wp:extent cx="1940560" cy="1202055"/>
                  <wp:effectExtent l="0" t="0" r="2540" b="4445"/>
                  <wp:docPr id="3"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9"/>
                          <pic:cNvPicPr>
                            <a:picLocks noChangeAspect="1"/>
                          </pic:cNvPicPr>
                        </pic:nvPicPr>
                        <pic:blipFill>
                          <a:blip r:embed="rId5"/>
                          <a:stretch>
                            <a:fillRect/>
                          </a:stretch>
                        </pic:blipFill>
                        <pic:spPr>
                          <a:xfrm>
                            <a:off x="0" y="0"/>
                            <a:ext cx="1940560" cy="1202055"/>
                          </a:xfrm>
                          <a:prstGeom prst="rect">
                            <a:avLst/>
                          </a:prstGeom>
                          <a:noFill/>
                          <a:ln>
                            <a:noFill/>
                          </a:ln>
                        </pic:spPr>
                      </pic:pic>
                    </a:graphicData>
                  </a:graphic>
                </wp:inline>
              </w:drawing>
            </w:r>
          </w:p>
          <w:p>
            <w:pPr>
              <w:widowControl/>
              <w:jc w:val="center"/>
              <w:rPr>
                <w:rFonts w:hint="eastAsia" w:ascii="仿宋" w:hAnsi="仿宋" w:eastAsia="仿宋" w:cs="仿宋"/>
                <w:b/>
                <w:bCs/>
                <w:color w:val="auto"/>
                <w:kern w:val="0"/>
                <w:szCs w:val="21"/>
                <w:lang w:val="en-US"/>
              </w:rPr>
            </w:pPr>
            <w:r>
              <w:rPr>
                <w:rFonts w:hint="eastAsia" w:ascii="仿宋" w:hAnsi="仿宋" w:eastAsia="仿宋" w:cs="仿宋"/>
                <w:color w:val="auto"/>
                <w:vertAlign w:val="baseline"/>
                <w:lang w:val="en-US" w:eastAsia="zh-CN"/>
              </w:rPr>
              <w:t>带示宽灯、加装倒车影像、雷达防范；防止人员进入物体打击区措施示意</w:t>
            </w:r>
          </w:p>
        </w:tc>
      </w:tr>
      <w:tr>
        <w:tblPrEx>
          <w:tblCellMar>
            <w:top w:w="0" w:type="dxa"/>
            <w:left w:w="108" w:type="dxa"/>
            <w:bottom w:w="0" w:type="dxa"/>
            <w:right w:w="108" w:type="dxa"/>
          </w:tblCellMar>
        </w:tblPrEx>
        <w:trPr>
          <w:trHeight w:val="680" w:hRule="atLeast"/>
        </w:trPr>
        <w:tc>
          <w:tcPr>
            <w:tcW w:w="474"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rPr>
                <w:rFonts w:hint="eastAsia" w:ascii="仿宋" w:hAnsi="仿宋" w:eastAsia="仿宋" w:cs="仿宋"/>
                <w:b/>
                <w:bCs/>
                <w:color w:val="auto"/>
                <w:kern w:val="0"/>
                <w:szCs w:val="21"/>
              </w:rPr>
            </w:pPr>
            <w:r>
              <w:rPr>
                <w:rFonts w:hint="eastAsia" w:ascii="仿宋" w:hAnsi="仿宋" w:eastAsia="仿宋" w:cs="仿宋"/>
                <w:color w:val="auto"/>
                <w:szCs w:val="21"/>
              </w:rPr>
              <w:t>2</w:t>
            </w:r>
          </w:p>
        </w:tc>
        <w:tc>
          <w:tcPr>
            <w:tcW w:w="1054" w:type="dxa"/>
            <w:tcBorders>
              <w:top w:val="single" w:color="auto" w:sz="4" w:space="0"/>
              <w:left w:val="nil"/>
              <w:bottom w:val="single" w:color="auto" w:sz="4" w:space="0"/>
              <w:right w:val="single" w:color="auto" w:sz="4" w:space="0"/>
            </w:tcBorders>
            <w:shd w:val="clear" w:color="auto" w:fill="auto"/>
            <w:vAlign w:val="center"/>
          </w:tcPr>
          <w:p>
            <w:pPr>
              <w:widowControl/>
              <w:jc w:val="left"/>
              <w:rPr>
                <w:rFonts w:hint="eastAsia" w:ascii="仿宋" w:hAnsi="仿宋" w:eastAsia="仿宋" w:cs="仿宋"/>
                <w:b/>
                <w:bCs/>
                <w:color w:val="auto"/>
                <w:kern w:val="0"/>
                <w:szCs w:val="21"/>
              </w:rPr>
            </w:pPr>
            <w:r>
              <w:rPr>
                <w:rFonts w:hint="eastAsia" w:ascii="仿宋" w:hAnsi="仿宋" w:eastAsia="仿宋" w:cs="仿宋"/>
                <w:color w:val="auto"/>
                <w:szCs w:val="21"/>
              </w:rPr>
              <w:t>内能的意外释放</w:t>
            </w:r>
          </w:p>
        </w:tc>
        <w:tc>
          <w:tcPr>
            <w:tcW w:w="1778" w:type="dxa"/>
            <w:tcBorders>
              <w:top w:val="single" w:color="auto" w:sz="4" w:space="0"/>
              <w:left w:val="nil"/>
              <w:bottom w:val="single" w:color="auto" w:sz="4" w:space="0"/>
              <w:right w:val="single" w:color="auto" w:sz="4" w:space="0"/>
            </w:tcBorders>
            <w:shd w:val="clear" w:color="auto" w:fill="auto"/>
            <w:vAlign w:val="center"/>
          </w:tcPr>
          <w:p>
            <w:pPr>
              <w:widowControl/>
              <w:jc w:val="left"/>
              <w:rPr>
                <w:rFonts w:hint="eastAsia" w:ascii="仿宋" w:hAnsi="仿宋" w:eastAsia="仿宋" w:cs="仿宋"/>
                <w:b/>
                <w:bCs/>
                <w:color w:val="auto"/>
                <w:kern w:val="0"/>
                <w:szCs w:val="21"/>
              </w:rPr>
            </w:pPr>
            <w:r>
              <w:rPr>
                <w:rFonts w:hint="eastAsia" w:ascii="仿宋" w:hAnsi="仿宋" w:eastAsia="仿宋" w:cs="仿宋"/>
                <w:color w:val="auto"/>
                <w:szCs w:val="21"/>
              </w:rPr>
              <w:t>机械工件或部件意外飞出、带压设备意外打开等。</w:t>
            </w:r>
          </w:p>
        </w:tc>
        <w:tc>
          <w:tcPr>
            <w:tcW w:w="2058" w:type="dxa"/>
            <w:tcBorders>
              <w:top w:val="single" w:color="auto" w:sz="4" w:space="0"/>
              <w:left w:val="nil"/>
              <w:bottom w:val="single" w:color="auto" w:sz="4" w:space="0"/>
              <w:right w:val="single" w:color="auto" w:sz="4" w:space="0"/>
            </w:tcBorders>
            <w:shd w:val="clear" w:color="auto" w:fill="auto"/>
            <w:vAlign w:val="center"/>
          </w:tcPr>
          <w:p>
            <w:pPr>
              <w:widowControl/>
              <w:jc w:val="left"/>
              <w:rPr>
                <w:rFonts w:hint="eastAsia" w:ascii="仿宋" w:hAnsi="仿宋" w:eastAsia="仿宋" w:cs="仿宋"/>
                <w:color w:val="auto"/>
                <w:szCs w:val="21"/>
              </w:rPr>
            </w:pPr>
            <w:r>
              <w:rPr>
                <w:rFonts w:hint="eastAsia" w:ascii="仿宋" w:hAnsi="仿宋" w:eastAsia="仿宋" w:cs="仿宋"/>
                <w:color w:val="auto"/>
                <w:szCs w:val="21"/>
              </w:rPr>
              <w:t>1.机械加工设备未设置安全装置或发生松动、脱落等意外飞出。</w:t>
            </w:r>
          </w:p>
          <w:p>
            <w:pPr>
              <w:widowControl/>
              <w:jc w:val="left"/>
              <w:rPr>
                <w:rFonts w:hint="eastAsia" w:ascii="仿宋" w:hAnsi="仿宋" w:eastAsia="仿宋" w:cs="仿宋"/>
                <w:color w:val="auto"/>
                <w:szCs w:val="21"/>
              </w:rPr>
            </w:pPr>
            <w:r>
              <w:rPr>
                <w:rFonts w:hint="eastAsia" w:ascii="仿宋" w:hAnsi="仿宋" w:eastAsia="仿宋" w:cs="仿宋"/>
                <w:color w:val="auto"/>
                <w:szCs w:val="21"/>
              </w:rPr>
              <w:t>2.钢板、钢卷等高弹性物品输运、解卷过程发生回弹。</w:t>
            </w:r>
          </w:p>
          <w:p>
            <w:pPr>
              <w:widowControl/>
              <w:jc w:val="left"/>
              <w:rPr>
                <w:rFonts w:hint="eastAsia" w:ascii="仿宋" w:hAnsi="仿宋" w:eastAsia="仿宋" w:cs="仿宋"/>
                <w:b/>
                <w:bCs/>
                <w:color w:val="auto"/>
                <w:kern w:val="0"/>
                <w:szCs w:val="21"/>
              </w:rPr>
            </w:pPr>
            <w:r>
              <w:rPr>
                <w:rFonts w:hint="eastAsia" w:ascii="仿宋" w:hAnsi="仿宋" w:eastAsia="仿宋" w:cs="仿宋"/>
                <w:color w:val="auto"/>
                <w:szCs w:val="21"/>
              </w:rPr>
              <w:t>3.操作人员违章作业。</w:t>
            </w:r>
          </w:p>
        </w:tc>
        <w:tc>
          <w:tcPr>
            <w:tcW w:w="2606" w:type="dxa"/>
            <w:tcBorders>
              <w:top w:val="single" w:color="auto" w:sz="4" w:space="0"/>
              <w:left w:val="nil"/>
              <w:bottom w:val="single" w:color="auto" w:sz="4" w:space="0"/>
              <w:right w:val="single" w:color="auto" w:sz="4" w:space="0"/>
            </w:tcBorders>
            <w:shd w:val="clear" w:color="auto" w:fill="auto"/>
            <w:vAlign w:val="center"/>
          </w:tcPr>
          <w:p>
            <w:pPr>
              <w:widowControl/>
              <w:jc w:val="left"/>
              <w:rPr>
                <w:rFonts w:hint="eastAsia" w:ascii="仿宋" w:hAnsi="仿宋" w:eastAsia="仿宋" w:cs="仿宋"/>
                <w:color w:val="auto"/>
                <w:szCs w:val="21"/>
              </w:rPr>
            </w:pPr>
            <w:r>
              <w:rPr>
                <w:rFonts w:hint="eastAsia" w:ascii="仿宋" w:hAnsi="仿宋" w:eastAsia="仿宋" w:cs="仿宋"/>
                <w:color w:val="auto"/>
                <w:szCs w:val="21"/>
              </w:rPr>
              <w:t>1.对可能发生工部件意外飞出的设备设施增加防护罩或防护网。</w:t>
            </w:r>
          </w:p>
          <w:p>
            <w:pPr>
              <w:widowControl/>
              <w:jc w:val="left"/>
              <w:rPr>
                <w:rFonts w:hint="eastAsia" w:ascii="仿宋" w:hAnsi="仿宋" w:eastAsia="仿宋" w:cs="仿宋"/>
                <w:color w:val="auto"/>
                <w:szCs w:val="21"/>
              </w:rPr>
            </w:pPr>
            <w:r>
              <w:rPr>
                <w:rFonts w:hint="eastAsia" w:ascii="仿宋" w:hAnsi="仿宋" w:eastAsia="仿宋" w:cs="仿宋"/>
                <w:color w:val="auto"/>
                <w:szCs w:val="21"/>
              </w:rPr>
              <w:t>2.钢卷输运绑扎牢固，未能落稳时，严禁靠近，解卷区域禁止靠近、停留。</w:t>
            </w:r>
          </w:p>
          <w:p>
            <w:pPr>
              <w:widowControl/>
              <w:jc w:val="left"/>
              <w:rPr>
                <w:rFonts w:hint="eastAsia" w:ascii="仿宋" w:hAnsi="仿宋" w:eastAsia="仿宋" w:cs="仿宋"/>
                <w:b/>
                <w:bCs/>
                <w:color w:val="auto"/>
                <w:kern w:val="0"/>
                <w:szCs w:val="21"/>
              </w:rPr>
            </w:pPr>
            <w:r>
              <w:rPr>
                <w:rFonts w:hint="eastAsia" w:ascii="仿宋" w:hAnsi="仿宋" w:eastAsia="仿宋" w:cs="仿宋"/>
                <w:color w:val="auto"/>
                <w:szCs w:val="21"/>
              </w:rPr>
              <w:t>3.对带压设备防止意外打开设置连锁如建材行业的蒸压釜。</w:t>
            </w:r>
          </w:p>
        </w:tc>
        <w:tc>
          <w:tcPr>
            <w:tcW w:w="3179" w:type="dxa"/>
            <w:tcBorders>
              <w:top w:val="single" w:color="auto" w:sz="4" w:space="0"/>
              <w:left w:val="nil"/>
              <w:bottom w:val="single" w:color="auto" w:sz="4" w:space="0"/>
              <w:right w:val="single" w:color="auto" w:sz="4" w:space="0"/>
            </w:tcBorders>
            <w:shd w:val="clear" w:color="auto" w:fill="auto"/>
            <w:vAlign w:val="center"/>
          </w:tcPr>
          <w:p>
            <w:pPr>
              <w:widowControl/>
              <w:jc w:val="left"/>
              <w:rPr>
                <w:rFonts w:hint="eastAsia" w:ascii="仿宋" w:hAnsi="仿宋" w:eastAsia="仿宋" w:cs="仿宋"/>
                <w:color w:val="auto"/>
                <w:szCs w:val="21"/>
              </w:rPr>
            </w:pPr>
            <w:r>
              <w:rPr>
                <w:rFonts w:hint="eastAsia" w:ascii="仿宋" w:hAnsi="仿宋" w:eastAsia="仿宋" w:cs="仿宋"/>
                <w:color w:val="auto"/>
                <w:szCs w:val="21"/>
              </w:rPr>
              <w:t>1.设置显著的安全警示标识。</w:t>
            </w:r>
          </w:p>
          <w:p>
            <w:pPr>
              <w:widowControl/>
              <w:jc w:val="left"/>
              <w:rPr>
                <w:rFonts w:hint="eastAsia" w:ascii="仿宋" w:hAnsi="仿宋" w:eastAsia="仿宋" w:cs="仿宋"/>
                <w:color w:val="auto"/>
                <w:szCs w:val="21"/>
              </w:rPr>
            </w:pPr>
            <w:r>
              <w:rPr>
                <w:rFonts w:hint="eastAsia" w:ascii="仿宋" w:hAnsi="仿宋" w:eastAsia="仿宋" w:cs="仿宋"/>
                <w:color w:val="auto"/>
                <w:szCs w:val="21"/>
              </w:rPr>
              <w:t>2.制定简单易行的安全操作要点及应急处置办法，并监督员工执行。</w:t>
            </w:r>
          </w:p>
          <w:p>
            <w:pPr>
              <w:widowControl/>
              <w:jc w:val="left"/>
              <w:rPr>
                <w:rFonts w:hint="eastAsia" w:ascii="仿宋" w:hAnsi="仿宋" w:eastAsia="仿宋" w:cs="仿宋"/>
                <w:color w:val="auto"/>
                <w:szCs w:val="21"/>
              </w:rPr>
            </w:pPr>
            <w:r>
              <w:rPr>
                <w:rFonts w:hint="eastAsia" w:ascii="仿宋" w:hAnsi="仿宋" w:eastAsia="仿宋" w:cs="仿宋"/>
                <w:color w:val="auto"/>
                <w:szCs w:val="21"/>
              </w:rPr>
              <w:t>3.定期维护保养设备设施及检查防护设施是否有效。</w:t>
            </w:r>
          </w:p>
          <w:p>
            <w:pPr>
              <w:widowControl/>
              <w:jc w:val="left"/>
              <w:rPr>
                <w:rFonts w:hint="eastAsia" w:ascii="仿宋" w:hAnsi="仿宋" w:eastAsia="仿宋" w:cs="仿宋"/>
                <w:color w:val="auto"/>
                <w:szCs w:val="21"/>
              </w:rPr>
            </w:pPr>
            <w:r>
              <w:rPr>
                <w:rFonts w:hint="eastAsia" w:ascii="仿宋" w:hAnsi="仿宋" w:eastAsia="仿宋" w:cs="仿宋"/>
                <w:color w:val="auto"/>
                <w:szCs w:val="21"/>
              </w:rPr>
              <w:t>4.正确佩戴安全帽、防护目镜等防打击劳保用品。</w:t>
            </w:r>
          </w:p>
          <w:p>
            <w:pPr>
              <w:widowControl/>
              <w:jc w:val="left"/>
              <w:rPr>
                <w:rFonts w:hint="eastAsia" w:ascii="仿宋" w:hAnsi="仿宋" w:eastAsia="仿宋" w:cs="仿宋"/>
                <w:b/>
                <w:bCs/>
                <w:color w:val="auto"/>
                <w:kern w:val="0"/>
                <w:szCs w:val="21"/>
              </w:rPr>
            </w:pPr>
            <w:r>
              <w:rPr>
                <w:rFonts w:hint="eastAsia" w:ascii="仿宋" w:hAnsi="仿宋" w:eastAsia="仿宋" w:cs="仿宋"/>
                <w:color w:val="auto"/>
                <w:szCs w:val="21"/>
              </w:rPr>
              <w:t>5.对岗位操作特别注意事项进行现场公示（特别是发生过事故的部位）。</w:t>
            </w:r>
          </w:p>
        </w:tc>
        <w:tc>
          <w:tcPr>
            <w:tcW w:w="3745" w:type="dxa"/>
            <w:tcBorders>
              <w:top w:val="single" w:color="auto" w:sz="4" w:space="0"/>
              <w:left w:val="nil"/>
              <w:bottom w:val="single" w:color="auto" w:sz="4" w:space="0"/>
              <w:right w:val="single" w:color="auto" w:sz="4" w:space="0"/>
            </w:tcBorders>
            <w:shd w:val="clear" w:color="auto" w:fill="auto"/>
            <w:vAlign w:val="center"/>
          </w:tcPr>
          <w:p>
            <w:pPr>
              <w:widowControl/>
              <w:jc w:val="center"/>
              <w:rPr>
                <w:rFonts w:hint="eastAsia" w:ascii="仿宋" w:hAnsi="仿宋" w:eastAsia="仿宋" w:cs="仿宋"/>
                <w:color w:val="auto"/>
                <w:szCs w:val="21"/>
              </w:rPr>
            </w:pPr>
            <w:r>
              <w:rPr>
                <w:rFonts w:hint="eastAsia" w:ascii="仿宋" w:hAnsi="仿宋" w:eastAsia="仿宋" w:cs="仿宋"/>
                <w:color w:val="auto"/>
                <w:szCs w:val="21"/>
              </w:rPr>
              <w:drawing>
                <wp:inline distT="0" distB="0" distL="0" distR="0">
                  <wp:extent cx="2169160" cy="1631950"/>
                  <wp:effectExtent l="0" t="0" r="2540" b="6350"/>
                  <wp:docPr id="14"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3"/>
                          <pic:cNvPicPr>
                            <a:picLocks noChangeAspect="1"/>
                          </pic:cNvPicPr>
                        </pic:nvPicPr>
                        <pic:blipFill>
                          <a:blip r:embed="rId6"/>
                          <a:stretch>
                            <a:fillRect/>
                          </a:stretch>
                        </pic:blipFill>
                        <pic:spPr>
                          <a:xfrm>
                            <a:off x="0" y="0"/>
                            <a:ext cx="2177079" cy="1638508"/>
                          </a:xfrm>
                          <a:prstGeom prst="rect">
                            <a:avLst/>
                          </a:prstGeom>
                          <a:noFill/>
                          <a:ln w="9525">
                            <a:noFill/>
                          </a:ln>
                        </pic:spPr>
                      </pic:pic>
                    </a:graphicData>
                  </a:graphic>
                </wp:inline>
              </w:drawing>
            </w:r>
          </w:p>
          <w:p>
            <w:pPr>
              <w:widowControl/>
              <w:jc w:val="center"/>
              <w:rPr>
                <w:rFonts w:hint="eastAsia" w:ascii="仿宋" w:hAnsi="仿宋" w:eastAsia="仿宋" w:cs="仿宋"/>
                <w:b/>
                <w:bCs/>
                <w:color w:val="auto"/>
                <w:kern w:val="0"/>
                <w:szCs w:val="21"/>
                <w:lang w:val="en-US" w:eastAsia="zh-CN"/>
              </w:rPr>
            </w:pPr>
            <w:r>
              <w:rPr>
                <w:rFonts w:hint="eastAsia" w:ascii="仿宋" w:hAnsi="仿宋" w:eastAsia="仿宋" w:cs="仿宋"/>
                <w:color w:val="auto"/>
                <w:szCs w:val="21"/>
              </w:rPr>
              <w:t>防护罩或防护网</w:t>
            </w:r>
            <w:r>
              <w:rPr>
                <w:rFonts w:hint="eastAsia" w:ascii="仿宋" w:hAnsi="仿宋" w:eastAsia="仿宋" w:cs="仿宋"/>
                <w:color w:val="auto"/>
                <w:szCs w:val="21"/>
                <w:lang w:val="en-US" w:eastAsia="zh-CN"/>
              </w:rPr>
              <w:t>示意</w:t>
            </w:r>
          </w:p>
        </w:tc>
      </w:tr>
      <w:tr>
        <w:tblPrEx>
          <w:tblCellMar>
            <w:top w:w="0" w:type="dxa"/>
            <w:left w:w="108" w:type="dxa"/>
            <w:bottom w:w="0" w:type="dxa"/>
            <w:right w:w="108" w:type="dxa"/>
          </w:tblCellMar>
        </w:tblPrEx>
        <w:trPr>
          <w:trHeight w:val="680" w:hRule="atLeast"/>
        </w:trPr>
        <w:tc>
          <w:tcPr>
            <w:tcW w:w="474"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rPr>
                <w:rFonts w:hint="eastAsia" w:ascii="仿宋" w:hAnsi="仿宋" w:eastAsia="仿宋" w:cs="仿宋"/>
                <w:b/>
                <w:bCs/>
                <w:color w:val="auto"/>
                <w:kern w:val="0"/>
                <w:szCs w:val="21"/>
              </w:rPr>
            </w:pPr>
            <w:r>
              <w:rPr>
                <w:rFonts w:hint="eastAsia" w:ascii="仿宋" w:hAnsi="仿宋" w:eastAsia="仿宋" w:cs="仿宋"/>
                <w:color w:val="auto"/>
                <w:szCs w:val="21"/>
              </w:rPr>
              <w:t>3</w:t>
            </w:r>
          </w:p>
        </w:tc>
        <w:tc>
          <w:tcPr>
            <w:tcW w:w="1054" w:type="dxa"/>
            <w:tcBorders>
              <w:top w:val="single" w:color="auto" w:sz="4" w:space="0"/>
              <w:left w:val="nil"/>
              <w:bottom w:val="single" w:color="auto" w:sz="4" w:space="0"/>
              <w:right w:val="single" w:color="auto" w:sz="4" w:space="0"/>
            </w:tcBorders>
            <w:shd w:val="clear" w:color="auto" w:fill="auto"/>
            <w:vAlign w:val="center"/>
          </w:tcPr>
          <w:p>
            <w:pPr>
              <w:widowControl/>
              <w:jc w:val="left"/>
              <w:rPr>
                <w:rFonts w:hint="eastAsia" w:ascii="仿宋" w:hAnsi="仿宋" w:eastAsia="仿宋" w:cs="仿宋"/>
                <w:b/>
                <w:bCs/>
                <w:color w:val="auto"/>
                <w:kern w:val="0"/>
                <w:szCs w:val="21"/>
              </w:rPr>
            </w:pPr>
            <w:r>
              <w:rPr>
                <w:rFonts w:hint="eastAsia" w:ascii="仿宋" w:hAnsi="仿宋" w:eastAsia="仿宋" w:cs="仿宋"/>
                <w:color w:val="auto"/>
                <w:szCs w:val="21"/>
              </w:rPr>
              <w:t>稳定性差</w:t>
            </w:r>
          </w:p>
        </w:tc>
        <w:tc>
          <w:tcPr>
            <w:tcW w:w="1778" w:type="dxa"/>
            <w:tcBorders>
              <w:top w:val="single" w:color="auto" w:sz="4" w:space="0"/>
              <w:left w:val="nil"/>
              <w:bottom w:val="single" w:color="auto" w:sz="4" w:space="0"/>
              <w:right w:val="single" w:color="auto" w:sz="4" w:space="0"/>
            </w:tcBorders>
            <w:shd w:val="clear" w:color="auto" w:fill="auto"/>
            <w:vAlign w:val="center"/>
          </w:tcPr>
          <w:p>
            <w:pPr>
              <w:widowControl/>
              <w:jc w:val="left"/>
              <w:rPr>
                <w:rFonts w:hint="eastAsia" w:ascii="仿宋" w:hAnsi="仿宋" w:eastAsia="仿宋" w:cs="仿宋"/>
                <w:b/>
                <w:bCs/>
                <w:color w:val="auto"/>
                <w:kern w:val="0"/>
                <w:szCs w:val="21"/>
              </w:rPr>
            </w:pPr>
            <w:r>
              <w:rPr>
                <w:rFonts w:hint="eastAsia" w:ascii="仿宋" w:hAnsi="仿宋" w:eastAsia="仿宋" w:cs="仿宋"/>
                <w:color w:val="auto"/>
                <w:szCs w:val="21"/>
              </w:rPr>
              <w:t>原料、成品料仓、堆场。</w:t>
            </w:r>
          </w:p>
        </w:tc>
        <w:tc>
          <w:tcPr>
            <w:tcW w:w="2058" w:type="dxa"/>
            <w:tcBorders>
              <w:top w:val="single" w:color="auto" w:sz="4" w:space="0"/>
              <w:left w:val="nil"/>
              <w:bottom w:val="single" w:color="auto" w:sz="4" w:space="0"/>
              <w:right w:val="single" w:color="auto" w:sz="4" w:space="0"/>
            </w:tcBorders>
            <w:shd w:val="clear" w:color="auto" w:fill="auto"/>
            <w:vAlign w:val="center"/>
          </w:tcPr>
          <w:p>
            <w:pPr>
              <w:widowControl/>
              <w:jc w:val="left"/>
              <w:rPr>
                <w:rFonts w:hint="eastAsia" w:ascii="仿宋" w:hAnsi="仿宋" w:eastAsia="仿宋" w:cs="仿宋"/>
                <w:color w:val="auto"/>
                <w:szCs w:val="21"/>
              </w:rPr>
            </w:pPr>
            <w:r>
              <w:rPr>
                <w:rFonts w:hint="eastAsia" w:ascii="仿宋" w:hAnsi="仿宋" w:eastAsia="仿宋" w:cs="仿宋"/>
                <w:color w:val="auto"/>
                <w:szCs w:val="21"/>
              </w:rPr>
              <w:t>1.料仓、堆场通道狭窄。</w:t>
            </w:r>
          </w:p>
          <w:p>
            <w:pPr>
              <w:widowControl/>
              <w:jc w:val="left"/>
              <w:rPr>
                <w:rFonts w:hint="eastAsia" w:ascii="仿宋" w:hAnsi="仿宋" w:eastAsia="仿宋" w:cs="仿宋"/>
                <w:color w:val="auto"/>
                <w:szCs w:val="21"/>
              </w:rPr>
            </w:pPr>
            <w:r>
              <w:rPr>
                <w:rFonts w:hint="eastAsia" w:ascii="仿宋" w:hAnsi="仿宋" w:eastAsia="仿宋" w:cs="仿宋"/>
                <w:color w:val="auto"/>
                <w:szCs w:val="21"/>
              </w:rPr>
              <w:t>2.货物堆放过高、超宽、超重、倾斜不稳。</w:t>
            </w:r>
          </w:p>
          <w:p>
            <w:pPr>
              <w:widowControl/>
              <w:jc w:val="left"/>
              <w:rPr>
                <w:rFonts w:hint="eastAsia" w:ascii="仿宋" w:hAnsi="仿宋" w:eastAsia="仿宋" w:cs="仿宋"/>
                <w:b/>
                <w:bCs/>
                <w:color w:val="auto"/>
                <w:kern w:val="0"/>
                <w:szCs w:val="21"/>
              </w:rPr>
            </w:pPr>
            <w:r>
              <w:rPr>
                <w:rFonts w:hint="eastAsia" w:ascii="仿宋" w:hAnsi="仿宋" w:eastAsia="仿宋" w:cs="仿宋"/>
                <w:color w:val="auto"/>
                <w:szCs w:val="21"/>
              </w:rPr>
              <w:t>3.临时放置的设施如长梯等发生倾倒</w:t>
            </w:r>
          </w:p>
        </w:tc>
        <w:tc>
          <w:tcPr>
            <w:tcW w:w="2606" w:type="dxa"/>
            <w:tcBorders>
              <w:top w:val="single" w:color="auto" w:sz="4" w:space="0"/>
              <w:left w:val="nil"/>
              <w:bottom w:val="single" w:color="auto" w:sz="4" w:space="0"/>
              <w:right w:val="single" w:color="auto" w:sz="4" w:space="0"/>
            </w:tcBorders>
            <w:shd w:val="clear" w:color="auto" w:fill="auto"/>
            <w:vAlign w:val="center"/>
          </w:tcPr>
          <w:p>
            <w:pPr>
              <w:widowControl/>
              <w:jc w:val="left"/>
              <w:rPr>
                <w:rFonts w:hint="eastAsia" w:ascii="仿宋" w:hAnsi="仿宋" w:eastAsia="仿宋" w:cs="仿宋"/>
                <w:color w:val="auto"/>
                <w:szCs w:val="21"/>
              </w:rPr>
            </w:pPr>
            <w:r>
              <w:rPr>
                <w:rFonts w:hint="eastAsia" w:ascii="仿宋" w:hAnsi="仿宋" w:eastAsia="仿宋" w:cs="仿宋"/>
                <w:color w:val="auto"/>
                <w:szCs w:val="21"/>
              </w:rPr>
              <w:t>1.料仓、堆场划设通道，物件堆放平稳，不得超高堆放，防倒塌措施有效，不得堵塞通道。</w:t>
            </w:r>
          </w:p>
          <w:p>
            <w:pPr>
              <w:widowControl/>
              <w:jc w:val="left"/>
              <w:rPr>
                <w:rFonts w:hint="eastAsia" w:ascii="仿宋" w:hAnsi="仿宋" w:eastAsia="仿宋" w:cs="仿宋"/>
                <w:color w:val="auto"/>
                <w:szCs w:val="21"/>
              </w:rPr>
            </w:pPr>
            <w:r>
              <w:rPr>
                <w:rFonts w:hint="eastAsia" w:ascii="仿宋" w:hAnsi="仿宋" w:eastAsia="仿宋" w:cs="仿宋"/>
                <w:color w:val="auto"/>
                <w:szCs w:val="21"/>
              </w:rPr>
              <w:t>2.具有滚动、滑动等风险的物件堆放采取可靠防坍塌措施如专用器具。</w:t>
            </w:r>
          </w:p>
          <w:p>
            <w:pPr>
              <w:widowControl/>
              <w:jc w:val="left"/>
              <w:rPr>
                <w:rFonts w:hint="eastAsia" w:ascii="仿宋" w:hAnsi="仿宋" w:eastAsia="仿宋" w:cs="仿宋"/>
                <w:b/>
                <w:bCs/>
                <w:color w:val="auto"/>
                <w:kern w:val="0"/>
                <w:szCs w:val="21"/>
              </w:rPr>
            </w:pPr>
            <w:r>
              <w:rPr>
                <w:rFonts w:hint="eastAsia" w:ascii="仿宋" w:hAnsi="仿宋" w:eastAsia="仿宋" w:cs="仿宋"/>
                <w:color w:val="auto"/>
                <w:szCs w:val="21"/>
              </w:rPr>
              <w:t>3.移动梯台放置稳固，采取防滑、制动措施。</w:t>
            </w:r>
          </w:p>
        </w:tc>
        <w:tc>
          <w:tcPr>
            <w:tcW w:w="3179" w:type="dxa"/>
            <w:tcBorders>
              <w:top w:val="single" w:color="auto" w:sz="4" w:space="0"/>
              <w:left w:val="nil"/>
              <w:bottom w:val="single" w:color="auto" w:sz="4" w:space="0"/>
              <w:right w:val="single" w:color="auto" w:sz="4" w:space="0"/>
            </w:tcBorders>
            <w:shd w:val="clear" w:color="auto" w:fill="auto"/>
            <w:vAlign w:val="center"/>
          </w:tcPr>
          <w:p>
            <w:pPr>
              <w:widowControl/>
              <w:jc w:val="left"/>
              <w:rPr>
                <w:rFonts w:hint="eastAsia" w:ascii="仿宋" w:hAnsi="仿宋" w:eastAsia="仿宋" w:cs="仿宋"/>
                <w:color w:val="auto"/>
                <w:szCs w:val="21"/>
              </w:rPr>
            </w:pPr>
            <w:r>
              <w:rPr>
                <w:rFonts w:hint="eastAsia" w:ascii="仿宋" w:hAnsi="仿宋" w:eastAsia="仿宋" w:cs="仿宋"/>
                <w:color w:val="auto"/>
                <w:szCs w:val="21"/>
              </w:rPr>
              <w:t>1.制定简单易行的岗位安全操作要点，并监督员工执行。</w:t>
            </w:r>
          </w:p>
          <w:p>
            <w:pPr>
              <w:widowControl/>
              <w:jc w:val="left"/>
              <w:rPr>
                <w:rFonts w:hint="eastAsia" w:ascii="仿宋" w:hAnsi="仿宋" w:eastAsia="仿宋" w:cs="仿宋"/>
                <w:color w:val="auto"/>
                <w:szCs w:val="21"/>
              </w:rPr>
            </w:pPr>
            <w:r>
              <w:rPr>
                <w:rFonts w:hint="eastAsia" w:ascii="仿宋" w:hAnsi="仿宋" w:eastAsia="仿宋" w:cs="仿宋"/>
                <w:color w:val="auto"/>
                <w:szCs w:val="21"/>
              </w:rPr>
              <w:t>2.设置“当心车辆”“小心坍塌”等安全警示标志。</w:t>
            </w:r>
          </w:p>
          <w:p>
            <w:pPr>
              <w:widowControl/>
              <w:jc w:val="left"/>
              <w:rPr>
                <w:rFonts w:hint="eastAsia" w:ascii="仿宋" w:hAnsi="仿宋" w:eastAsia="仿宋" w:cs="仿宋"/>
                <w:b/>
                <w:bCs/>
                <w:color w:val="auto"/>
                <w:kern w:val="0"/>
                <w:szCs w:val="21"/>
              </w:rPr>
            </w:pPr>
            <w:r>
              <w:rPr>
                <w:rFonts w:hint="eastAsia" w:ascii="仿宋" w:hAnsi="仿宋" w:eastAsia="仿宋" w:cs="仿宋"/>
                <w:color w:val="auto"/>
                <w:szCs w:val="21"/>
              </w:rPr>
              <w:t>3.对于超高或显著倾翻风险的设施应立即进行整治。</w:t>
            </w:r>
          </w:p>
        </w:tc>
        <w:tc>
          <w:tcPr>
            <w:tcW w:w="3745" w:type="dxa"/>
            <w:tcBorders>
              <w:top w:val="single" w:color="auto" w:sz="4" w:space="0"/>
              <w:left w:val="nil"/>
              <w:bottom w:val="single" w:color="auto" w:sz="4" w:space="0"/>
              <w:right w:val="single" w:color="auto" w:sz="4" w:space="0"/>
            </w:tcBorders>
            <w:shd w:val="clear" w:color="auto" w:fill="auto"/>
            <w:vAlign w:val="center"/>
          </w:tcPr>
          <w:p>
            <w:pPr>
              <w:widowControl/>
              <w:jc w:val="center"/>
              <w:rPr>
                <w:rFonts w:hint="eastAsia" w:ascii="仿宋" w:hAnsi="仿宋" w:eastAsia="仿宋" w:cs="仿宋"/>
                <w:color w:val="auto"/>
                <w:szCs w:val="21"/>
              </w:rPr>
            </w:pPr>
            <w:r>
              <w:rPr>
                <w:rFonts w:hint="eastAsia" w:ascii="仿宋" w:hAnsi="仿宋" w:eastAsia="仿宋" w:cs="仿宋"/>
                <w:color w:val="auto"/>
                <w:szCs w:val="21"/>
              </w:rPr>
              <w:drawing>
                <wp:inline distT="0" distB="0" distL="0" distR="0">
                  <wp:extent cx="2148840" cy="1449705"/>
                  <wp:effectExtent l="0" t="0" r="3810" b="0"/>
                  <wp:docPr id="11" name="图片 10" descr="fc22fc4853a08fde3a2ea56d09fc4e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0" descr="fc22fc4853a08fde3a2ea56d09fc4e0"/>
                          <pic:cNvPicPr>
                            <a:picLocks noChangeAspect="1"/>
                          </pic:cNvPicPr>
                        </pic:nvPicPr>
                        <pic:blipFill>
                          <a:blip r:embed="rId7"/>
                          <a:stretch>
                            <a:fillRect/>
                          </a:stretch>
                        </pic:blipFill>
                        <pic:spPr>
                          <a:xfrm>
                            <a:off x="0" y="0"/>
                            <a:ext cx="2157774" cy="1456088"/>
                          </a:xfrm>
                          <a:prstGeom prst="rect">
                            <a:avLst/>
                          </a:prstGeom>
                          <a:noFill/>
                          <a:ln w="9525">
                            <a:noFill/>
                          </a:ln>
                        </pic:spPr>
                      </pic:pic>
                    </a:graphicData>
                  </a:graphic>
                </wp:inline>
              </w:drawing>
            </w:r>
          </w:p>
          <w:p>
            <w:pPr>
              <w:widowControl/>
              <w:jc w:val="center"/>
              <w:rPr>
                <w:rFonts w:hint="eastAsia" w:ascii="仿宋" w:hAnsi="仿宋" w:eastAsia="仿宋" w:cs="仿宋"/>
                <w:color w:val="auto"/>
                <w:szCs w:val="21"/>
                <w:lang w:val="en-US" w:eastAsia="zh-CN"/>
              </w:rPr>
            </w:pPr>
            <w:r>
              <w:rPr>
                <w:rFonts w:hint="eastAsia" w:ascii="仿宋" w:hAnsi="仿宋" w:eastAsia="仿宋" w:cs="仿宋"/>
                <w:color w:val="auto"/>
                <w:szCs w:val="21"/>
                <w:lang w:val="en-US" w:eastAsia="zh-CN"/>
              </w:rPr>
              <w:t>专用工器具防止意外滚动、滑动示意</w:t>
            </w:r>
          </w:p>
        </w:tc>
      </w:tr>
      <w:tr>
        <w:tblPrEx>
          <w:tblCellMar>
            <w:top w:w="0" w:type="dxa"/>
            <w:left w:w="108" w:type="dxa"/>
            <w:bottom w:w="0" w:type="dxa"/>
            <w:right w:w="108" w:type="dxa"/>
          </w:tblCellMar>
        </w:tblPrEx>
        <w:trPr>
          <w:trHeight w:val="680" w:hRule="atLeast"/>
        </w:trPr>
        <w:tc>
          <w:tcPr>
            <w:tcW w:w="474"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rPr>
                <w:rFonts w:hint="eastAsia" w:ascii="仿宋" w:hAnsi="仿宋" w:eastAsia="仿宋" w:cs="仿宋"/>
                <w:b/>
                <w:bCs/>
                <w:color w:val="auto"/>
                <w:kern w:val="0"/>
                <w:szCs w:val="21"/>
              </w:rPr>
            </w:pPr>
            <w:r>
              <w:rPr>
                <w:rFonts w:hint="eastAsia" w:ascii="仿宋" w:hAnsi="仿宋" w:eastAsia="仿宋" w:cs="仿宋"/>
                <w:color w:val="auto"/>
                <w:szCs w:val="21"/>
              </w:rPr>
              <w:t>4</w:t>
            </w:r>
          </w:p>
        </w:tc>
        <w:tc>
          <w:tcPr>
            <w:tcW w:w="1054" w:type="dxa"/>
            <w:tcBorders>
              <w:top w:val="single" w:color="auto" w:sz="4" w:space="0"/>
              <w:left w:val="nil"/>
              <w:bottom w:val="single" w:color="auto" w:sz="4" w:space="0"/>
              <w:right w:val="single" w:color="auto" w:sz="4" w:space="0"/>
            </w:tcBorders>
            <w:shd w:val="clear" w:color="auto" w:fill="auto"/>
            <w:vAlign w:val="center"/>
          </w:tcPr>
          <w:p>
            <w:pPr>
              <w:widowControl/>
              <w:jc w:val="left"/>
              <w:rPr>
                <w:rFonts w:hint="eastAsia" w:ascii="仿宋" w:hAnsi="仿宋" w:eastAsia="仿宋" w:cs="仿宋"/>
                <w:b/>
                <w:bCs/>
                <w:color w:val="auto"/>
                <w:kern w:val="0"/>
                <w:szCs w:val="21"/>
              </w:rPr>
            </w:pPr>
            <w:r>
              <w:rPr>
                <w:rFonts w:hint="eastAsia" w:ascii="仿宋" w:hAnsi="仿宋" w:eastAsia="仿宋" w:cs="仿宋"/>
                <w:color w:val="auto"/>
                <w:szCs w:val="21"/>
              </w:rPr>
              <w:t>高危险作业</w:t>
            </w:r>
          </w:p>
        </w:tc>
        <w:tc>
          <w:tcPr>
            <w:tcW w:w="1778" w:type="dxa"/>
            <w:tcBorders>
              <w:top w:val="single" w:color="auto" w:sz="4" w:space="0"/>
              <w:left w:val="nil"/>
              <w:bottom w:val="single" w:color="auto" w:sz="4" w:space="0"/>
              <w:right w:val="single" w:color="auto" w:sz="4" w:space="0"/>
            </w:tcBorders>
            <w:shd w:val="clear" w:color="auto" w:fill="auto"/>
            <w:vAlign w:val="center"/>
          </w:tcPr>
          <w:p>
            <w:pPr>
              <w:widowControl/>
              <w:jc w:val="left"/>
              <w:rPr>
                <w:rFonts w:hint="eastAsia" w:ascii="仿宋" w:hAnsi="仿宋" w:eastAsia="仿宋" w:cs="仿宋"/>
                <w:b/>
                <w:bCs/>
                <w:color w:val="auto"/>
                <w:kern w:val="0"/>
                <w:szCs w:val="21"/>
              </w:rPr>
            </w:pPr>
            <w:r>
              <w:rPr>
                <w:rFonts w:hint="eastAsia" w:ascii="仿宋" w:hAnsi="仿宋" w:eastAsia="仿宋" w:cs="仿宋"/>
                <w:color w:val="auto"/>
                <w:szCs w:val="21"/>
              </w:rPr>
              <w:t>伴随高处、起重、有限空间等的检维修或施工作业</w:t>
            </w:r>
          </w:p>
        </w:tc>
        <w:tc>
          <w:tcPr>
            <w:tcW w:w="2058" w:type="dxa"/>
            <w:tcBorders>
              <w:top w:val="single" w:color="auto" w:sz="4" w:space="0"/>
              <w:left w:val="nil"/>
              <w:bottom w:val="single" w:color="auto" w:sz="4" w:space="0"/>
              <w:right w:val="single" w:color="auto" w:sz="4" w:space="0"/>
            </w:tcBorders>
            <w:shd w:val="clear" w:color="auto" w:fill="auto"/>
            <w:vAlign w:val="center"/>
          </w:tcPr>
          <w:p>
            <w:pPr>
              <w:widowControl/>
              <w:jc w:val="left"/>
              <w:rPr>
                <w:rFonts w:hint="eastAsia" w:ascii="仿宋" w:hAnsi="仿宋" w:eastAsia="仿宋" w:cs="仿宋"/>
                <w:color w:val="auto"/>
                <w:szCs w:val="21"/>
              </w:rPr>
            </w:pPr>
            <w:r>
              <w:rPr>
                <w:rFonts w:hint="eastAsia" w:ascii="仿宋" w:hAnsi="仿宋" w:eastAsia="仿宋" w:cs="仿宋"/>
                <w:color w:val="auto"/>
                <w:szCs w:val="21"/>
              </w:rPr>
              <w:t>1.未编制施工或检维修方案；未办理作业票以及开展风险辨识和现场确认。</w:t>
            </w:r>
          </w:p>
          <w:p>
            <w:pPr>
              <w:widowControl/>
              <w:jc w:val="left"/>
              <w:rPr>
                <w:rFonts w:hint="eastAsia" w:ascii="仿宋" w:hAnsi="仿宋" w:eastAsia="仿宋" w:cs="仿宋"/>
                <w:color w:val="auto"/>
                <w:szCs w:val="21"/>
              </w:rPr>
            </w:pPr>
            <w:r>
              <w:rPr>
                <w:rFonts w:hint="eastAsia" w:ascii="仿宋" w:hAnsi="仿宋" w:eastAsia="仿宋" w:cs="仿宋"/>
                <w:color w:val="auto"/>
                <w:szCs w:val="21"/>
              </w:rPr>
              <w:t>2.未进行相关培训或资质、证书审查。</w:t>
            </w:r>
          </w:p>
          <w:p>
            <w:pPr>
              <w:widowControl/>
              <w:jc w:val="left"/>
              <w:rPr>
                <w:rFonts w:hint="eastAsia" w:ascii="仿宋" w:hAnsi="仿宋" w:eastAsia="仿宋" w:cs="仿宋"/>
                <w:color w:val="auto"/>
                <w:szCs w:val="21"/>
              </w:rPr>
            </w:pPr>
            <w:r>
              <w:rPr>
                <w:rFonts w:hint="eastAsia" w:ascii="仿宋" w:hAnsi="仿宋" w:eastAsia="仿宋" w:cs="仿宋"/>
                <w:color w:val="auto"/>
                <w:szCs w:val="21"/>
              </w:rPr>
              <w:t>3.脚手架搭接不牢靠或承重能力不足。</w:t>
            </w:r>
          </w:p>
          <w:p>
            <w:pPr>
              <w:widowControl/>
              <w:jc w:val="left"/>
              <w:rPr>
                <w:rFonts w:hint="eastAsia" w:ascii="仿宋" w:hAnsi="仿宋" w:eastAsia="仿宋" w:cs="仿宋"/>
                <w:color w:val="auto"/>
                <w:szCs w:val="21"/>
              </w:rPr>
            </w:pPr>
            <w:r>
              <w:rPr>
                <w:rFonts w:hint="eastAsia" w:ascii="仿宋" w:hAnsi="仿宋" w:eastAsia="仿宋" w:cs="仿宋"/>
                <w:color w:val="auto"/>
                <w:szCs w:val="21"/>
              </w:rPr>
              <w:t>4.起重作业未遵守十不吊，吊装物倾翻区站人。</w:t>
            </w:r>
          </w:p>
          <w:p>
            <w:pPr>
              <w:widowControl/>
              <w:jc w:val="left"/>
              <w:rPr>
                <w:rFonts w:hint="eastAsia" w:ascii="仿宋" w:hAnsi="仿宋" w:eastAsia="仿宋" w:cs="仿宋"/>
                <w:b/>
                <w:bCs/>
                <w:color w:val="auto"/>
                <w:kern w:val="0"/>
                <w:szCs w:val="21"/>
              </w:rPr>
            </w:pPr>
            <w:r>
              <w:rPr>
                <w:rFonts w:hint="eastAsia" w:ascii="仿宋" w:hAnsi="仿宋" w:eastAsia="仿宋" w:cs="仿宋"/>
                <w:color w:val="auto"/>
                <w:szCs w:val="21"/>
              </w:rPr>
              <w:t>5.恶劣天气进行作业。</w:t>
            </w:r>
          </w:p>
        </w:tc>
        <w:tc>
          <w:tcPr>
            <w:tcW w:w="2606" w:type="dxa"/>
            <w:tcBorders>
              <w:top w:val="single" w:color="auto" w:sz="4" w:space="0"/>
              <w:left w:val="nil"/>
              <w:bottom w:val="single" w:color="auto" w:sz="4" w:space="0"/>
              <w:right w:val="single" w:color="auto" w:sz="4" w:space="0"/>
            </w:tcBorders>
            <w:shd w:val="clear" w:color="auto" w:fill="auto"/>
            <w:vAlign w:val="center"/>
          </w:tcPr>
          <w:p>
            <w:pPr>
              <w:widowControl/>
              <w:jc w:val="left"/>
              <w:rPr>
                <w:rFonts w:hint="eastAsia" w:ascii="仿宋" w:hAnsi="仿宋" w:eastAsia="仿宋" w:cs="仿宋"/>
                <w:color w:val="auto"/>
                <w:szCs w:val="21"/>
              </w:rPr>
            </w:pPr>
            <w:r>
              <w:rPr>
                <w:rFonts w:hint="eastAsia" w:ascii="仿宋" w:hAnsi="仿宋" w:eastAsia="仿宋" w:cs="仿宋"/>
                <w:color w:val="auto"/>
                <w:szCs w:val="21"/>
              </w:rPr>
              <w:t>1.起重作业：</w:t>
            </w:r>
          </w:p>
          <w:p>
            <w:pPr>
              <w:widowControl/>
              <w:jc w:val="left"/>
              <w:rPr>
                <w:rFonts w:hint="eastAsia" w:ascii="仿宋" w:hAnsi="仿宋" w:eastAsia="仿宋" w:cs="仿宋"/>
                <w:color w:val="auto"/>
                <w:szCs w:val="21"/>
              </w:rPr>
            </w:pPr>
            <w:r>
              <w:rPr>
                <w:rFonts w:hint="eastAsia" w:ascii="仿宋" w:hAnsi="仿宋" w:eastAsia="仿宋" w:cs="仿宋"/>
                <w:color w:val="auto"/>
                <w:szCs w:val="21"/>
              </w:rPr>
              <w:t>（1）起重作业钢丝绳无断裂、不缠绕、防脱钩有效；应根据实际情况设置运行阻碍保护、限位开关、极限开关、缓冲器等安全保护装置，且灵敏、可靠。</w:t>
            </w:r>
          </w:p>
          <w:p>
            <w:pPr>
              <w:widowControl/>
              <w:jc w:val="left"/>
              <w:rPr>
                <w:rFonts w:hint="eastAsia" w:ascii="仿宋" w:hAnsi="仿宋" w:eastAsia="仿宋" w:cs="仿宋"/>
                <w:color w:val="auto"/>
                <w:szCs w:val="21"/>
              </w:rPr>
            </w:pPr>
            <w:r>
              <w:rPr>
                <w:rFonts w:hint="eastAsia" w:ascii="仿宋" w:hAnsi="仿宋" w:eastAsia="仿宋" w:cs="仿宋"/>
                <w:color w:val="auto"/>
                <w:szCs w:val="21"/>
              </w:rPr>
              <w:t>（2）起重作业要切实捆绑有效，对于无直接挂钩的物体应根据实际采取兜绳捆绑法或卡绳捆绑法或、卡环连接捆绑法，对于锋利物品应采取防止割断吊装绳具的措施。</w:t>
            </w:r>
          </w:p>
          <w:p>
            <w:pPr>
              <w:widowControl/>
              <w:jc w:val="left"/>
              <w:rPr>
                <w:rFonts w:hint="eastAsia" w:ascii="仿宋" w:hAnsi="仿宋" w:eastAsia="仿宋" w:cs="仿宋"/>
                <w:color w:val="auto"/>
                <w:szCs w:val="21"/>
              </w:rPr>
            </w:pPr>
            <w:r>
              <w:rPr>
                <w:rFonts w:hint="eastAsia" w:ascii="仿宋" w:hAnsi="仿宋" w:eastAsia="仿宋" w:cs="仿宋"/>
                <w:color w:val="auto"/>
                <w:szCs w:val="21"/>
              </w:rPr>
              <w:t>2.高处作业：</w:t>
            </w:r>
          </w:p>
          <w:p>
            <w:pPr>
              <w:widowControl/>
              <w:jc w:val="left"/>
              <w:rPr>
                <w:rFonts w:hint="eastAsia" w:ascii="仿宋" w:hAnsi="仿宋" w:eastAsia="仿宋" w:cs="仿宋"/>
                <w:color w:val="auto"/>
                <w:szCs w:val="21"/>
              </w:rPr>
            </w:pPr>
            <w:r>
              <w:rPr>
                <w:rFonts w:hint="eastAsia" w:ascii="仿宋" w:hAnsi="仿宋" w:eastAsia="仿宋" w:cs="仿宋"/>
                <w:color w:val="auto"/>
                <w:szCs w:val="21"/>
              </w:rPr>
              <w:t>（1）脚手架平台搭建合标牢靠，严禁踩踏未固定、湿滑石棉板或未将安全带高挂系于安全设施上进行作业；作业层外侧应设置高度不小于180mm的档脚版，架体作业层脚手板下应采用安全平网兜底。</w:t>
            </w:r>
          </w:p>
          <w:p>
            <w:pPr>
              <w:widowControl/>
              <w:jc w:val="left"/>
              <w:rPr>
                <w:rFonts w:hint="eastAsia" w:ascii="仿宋" w:hAnsi="仿宋" w:eastAsia="仿宋" w:cs="仿宋"/>
                <w:color w:val="auto"/>
                <w:szCs w:val="21"/>
              </w:rPr>
            </w:pPr>
            <w:r>
              <w:rPr>
                <w:rFonts w:hint="eastAsia" w:ascii="仿宋" w:hAnsi="仿宋" w:eastAsia="仿宋" w:cs="仿宋"/>
                <w:color w:val="auto"/>
                <w:szCs w:val="21"/>
              </w:rPr>
              <w:t>（2）交叉作业时，下层作业位置应处于上层作业的坠落半径之外，在坠落半径内时，必须设置安全防护棚或其他隔离措施。</w:t>
            </w:r>
          </w:p>
          <w:p>
            <w:pPr>
              <w:widowControl/>
              <w:jc w:val="left"/>
              <w:rPr>
                <w:rFonts w:hint="eastAsia" w:ascii="仿宋" w:hAnsi="仿宋" w:eastAsia="仿宋" w:cs="仿宋"/>
                <w:color w:val="auto"/>
                <w:szCs w:val="21"/>
              </w:rPr>
            </w:pPr>
            <w:r>
              <w:rPr>
                <w:rFonts w:hint="eastAsia" w:ascii="仿宋" w:hAnsi="仿宋" w:eastAsia="仿宋" w:cs="仿宋"/>
                <w:color w:val="auto"/>
                <w:szCs w:val="21"/>
              </w:rPr>
              <w:t>（3）拆除或拆卸作业时，下方不得有其他人员；不得上下同时拆除。</w:t>
            </w:r>
          </w:p>
          <w:p>
            <w:pPr>
              <w:widowControl/>
              <w:jc w:val="left"/>
              <w:rPr>
                <w:rFonts w:hint="eastAsia" w:ascii="仿宋" w:hAnsi="仿宋" w:eastAsia="仿宋" w:cs="仿宋"/>
                <w:color w:val="auto"/>
                <w:szCs w:val="21"/>
              </w:rPr>
            </w:pPr>
            <w:r>
              <w:rPr>
                <w:rFonts w:hint="eastAsia" w:ascii="仿宋" w:hAnsi="仿宋" w:eastAsia="仿宋" w:cs="仿宋"/>
                <w:color w:val="auto"/>
                <w:szCs w:val="21"/>
              </w:rPr>
              <w:t>3.有限空间：</w:t>
            </w:r>
          </w:p>
          <w:p>
            <w:pPr>
              <w:widowControl/>
              <w:jc w:val="left"/>
              <w:rPr>
                <w:rFonts w:hint="eastAsia" w:ascii="仿宋" w:hAnsi="仿宋" w:eastAsia="仿宋" w:cs="仿宋"/>
                <w:b/>
                <w:bCs/>
                <w:color w:val="auto"/>
                <w:kern w:val="0"/>
                <w:szCs w:val="21"/>
              </w:rPr>
            </w:pPr>
            <w:r>
              <w:rPr>
                <w:rFonts w:hint="eastAsia" w:ascii="仿宋" w:hAnsi="仿宋" w:eastAsia="仿宋" w:cs="仿宋"/>
                <w:color w:val="auto"/>
                <w:szCs w:val="21"/>
              </w:rPr>
              <w:t>进入有限空间作业如建材清库作业、冶金挖渣等高危险作业，应使用机械手操作代替人工进入作业，防止事故发生。</w:t>
            </w:r>
          </w:p>
        </w:tc>
        <w:tc>
          <w:tcPr>
            <w:tcW w:w="3179" w:type="dxa"/>
            <w:tcBorders>
              <w:top w:val="single" w:color="auto" w:sz="4" w:space="0"/>
              <w:left w:val="nil"/>
              <w:bottom w:val="single" w:color="auto" w:sz="4" w:space="0"/>
              <w:right w:val="single" w:color="auto" w:sz="4" w:space="0"/>
            </w:tcBorders>
            <w:shd w:val="clear" w:color="auto" w:fill="auto"/>
            <w:vAlign w:val="center"/>
          </w:tcPr>
          <w:p>
            <w:pPr>
              <w:widowControl/>
              <w:jc w:val="left"/>
              <w:rPr>
                <w:rFonts w:hint="eastAsia" w:ascii="仿宋" w:hAnsi="仿宋" w:eastAsia="仿宋" w:cs="仿宋"/>
                <w:color w:val="auto"/>
                <w:szCs w:val="21"/>
              </w:rPr>
            </w:pPr>
            <w:r>
              <w:rPr>
                <w:rFonts w:hint="eastAsia" w:ascii="仿宋" w:hAnsi="仿宋" w:eastAsia="仿宋" w:cs="仿宋"/>
                <w:color w:val="auto"/>
                <w:szCs w:val="21"/>
              </w:rPr>
              <w:t>1.编制施工或检维修方案；办理作业票、开展风险辨识和制定管控措施。</w:t>
            </w:r>
          </w:p>
          <w:p>
            <w:pPr>
              <w:widowControl/>
              <w:jc w:val="left"/>
              <w:rPr>
                <w:rFonts w:hint="eastAsia" w:ascii="仿宋" w:hAnsi="仿宋" w:eastAsia="仿宋" w:cs="仿宋"/>
                <w:color w:val="auto"/>
                <w:szCs w:val="21"/>
              </w:rPr>
            </w:pPr>
            <w:r>
              <w:rPr>
                <w:rFonts w:hint="eastAsia" w:ascii="仿宋" w:hAnsi="仿宋" w:eastAsia="仿宋" w:cs="仿宋"/>
                <w:color w:val="auto"/>
                <w:szCs w:val="21"/>
              </w:rPr>
              <w:t>2.落实相关人员培训或外包资质、特种工证书审查。</w:t>
            </w:r>
          </w:p>
          <w:p>
            <w:pPr>
              <w:widowControl/>
              <w:jc w:val="left"/>
              <w:rPr>
                <w:rFonts w:hint="eastAsia" w:ascii="仿宋" w:hAnsi="仿宋" w:eastAsia="仿宋" w:cs="仿宋"/>
                <w:color w:val="auto"/>
                <w:szCs w:val="21"/>
              </w:rPr>
            </w:pPr>
            <w:r>
              <w:rPr>
                <w:rFonts w:hint="eastAsia" w:ascii="仿宋" w:hAnsi="仿宋" w:eastAsia="仿宋" w:cs="仿宋"/>
                <w:color w:val="auto"/>
                <w:szCs w:val="21"/>
              </w:rPr>
              <w:t>3.高风险作业现场应设置专门专业的监护人员；可能产生坠物风险时，下部禁止作业，并用警戒线围挡禁止无关人员进入。</w:t>
            </w:r>
          </w:p>
          <w:p>
            <w:pPr>
              <w:widowControl/>
              <w:jc w:val="left"/>
              <w:rPr>
                <w:rFonts w:hint="eastAsia" w:ascii="仿宋" w:hAnsi="仿宋" w:eastAsia="仿宋" w:cs="仿宋"/>
                <w:color w:val="auto"/>
                <w:szCs w:val="21"/>
              </w:rPr>
            </w:pPr>
            <w:r>
              <w:rPr>
                <w:rFonts w:hint="eastAsia" w:ascii="仿宋" w:hAnsi="仿宋" w:eastAsia="仿宋" w:cs="仿宋"/>
                <w:color w:val="auto"/>
                <w:szCs w:val="21"/>
              </w:rPr>
              <w:t>4.起重作业应执行“十不吊”，严禁用手直接扶运或野蛮拖拽吊装物；严禁在倾翻覆盖范围内和有可能坠物的的地方逗留、休息。</w:t>
            </w:r>
          </w:p>
          <w:p>
            <w:pPr>
              <w:widowControl/>
              <w:jc w:val="left"/>
              <w:rPr>
                <w:rFonts w:hint="eastAsia" w:ascii="仿宋" w:hAnsi="仿宋" w:eastAsia="仿宋" w:cs="仿宋"/>
                <w:b/>
                <w:bCs/>
                <w:color w:val="auto"/>
                <w:kern w:val="0"/>
                <w:szCs w:val="21"/>
              </w:rPr>
            </w:pPr>
            <w:r>
              <w:rPr>
                <w:rFonts w:hint="eastAsia" w:ascii="仿宋" w:hAnsi="仿宋" w:eastAsia="仿宋" w:cs="仿宋"/>
                <w:color w:val="auto"/>
                <w:szCs w:val="21"/>
              </w:rPr>
              <w:t>5.作业前后相关负责人必须亲自组织带领专业人员去现场进行确认，严禁只在办公室签字不去现场核查安全条件是否满足要求。</w:t>
            </w:r>
          </w:p>
        </w:tc>
        <w:tc>
          <w:tcPr>
            <w:tcW w:w="3745" w:type="dxa"/>
            <w:tcBorders>
              <w:top w:val="single" w:color="auto" w:sz="4" w:space="0"/>
              <w:left w:val="nil"/>
              <w:bottom w:val="single" w:color="auto" w:sz="4" w:space="0"/>
              <w:right w:val="single" w:color="auto" w:sz="4" w:space="0"/>
            </w:tcBorders>
            <w:shd w:val="clear" w:color="auto" w:fill="auto"/>
            <w:vAlign w:val="center"/>
          </w:tcPr>
          <w:p>
            <w:pPr>
              <w:widowControl/>
              <w:jc w:val="center"/>
              <w:rPr>
                <w:rFonts w:hint="eastAsia" w:ascii="仿宋" w:hAnsi="仿宋" w:eastAsia="仿宋" w:cs="仿宋"/>
                <w:color w:val="auto"/>
                <w:sz w:val="24"/>
                <w:szCs w:val="24"/>
              </w:rPr>
            </w:pPr>
            <w:r>
              <w:rPr>
                <w:rFonts w:hint="eastAsia" w:ascii="仿宋" w:hAnsi="仿宋" w:eastAsia="仿宋" w:cs="仿宋"/>
                <w:color w:val="auto"/>
              </w:rPr>
              <w:drawing>
                <wp:inline distT="0" distB="0" distL="114300" distR="114300">
                  <wp:extent cx="2183765" cy="1169670"/>
                  <wp:effectExtent l="0" t="0" r="635" b="11430"/>
                  <wp:docPr id="4"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20"/>
                          <pic:cNvPicPr>
                            <a:picLocks noChangeAspect="1"/>
                          </pic:cNvPicPr>
                        </pic:nvPicPr>
                        <pic:blipFill>
                          <a:blip r:embed="rId8"/>
                          <a:stretch>
                            <a:fillRect/>
                          </a:stretch>
                        </pic:blipFill>
                        <pic:spPr>
                          <a:xfrm>
                            <a:off x="0" y="0"/>
                            <a:ext cx="2183765" cy="1169670"/>
                          </a:xfrm>
                          <a:prstGeom prst="rect">
                            <a:avLst/>
                          </a:prstGeom>
                          <a:noFill/>
                          <a:ln>
                            <a:noFill/>
                          </a:ln>
                        </pic:spPr>
                      </pic:pic>
                    </a:graphicData>
                  </a:graphic>
                </wp:inline>
              </w:drawing>
            </w:r>
            <w:r>
              <w:rPr>
                <w:rFonts w:hint="eastAsia" w:ascii="仿宋" w:hAnsi="仿宋" w:eastAsia="仿宋" w:cs="仿宋"/>
                <w:color w:val="auto"/>
                <w:szCs w:val="21"/>
                <w:lang w:val="en-US" w:eastAsia="zh-CN"/>
              </w:rPr>
              <w:t>高风险作业风险辨识辨识及管控示意</w:t>
            </w:r>
            <w:r>
              <w:rPr>
                <w:rFonts w:hint="eastAsia" w:ascii="仿宋" w:hAnsi="仿宋" w:eastAsia="仿宋" w:cs="仿宋"/>
                <w:color w:val="auto"/>
                <w:sz w:val="24"/>
                <w:szCs w:val="24"/>
              </w:rPr>
              <w:drawing>
                <wp:inline distT="0" distB="0" distL="114300" distR="114300">
                  <wp:extent cx="2141855" cy="1134745"/>
                  <wp:effectExtent l="0" t="0" r="1270" b="8255"/>
                  <wp:docPr id="5" name="图片 18"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18" descr="IMG_256"/>
                          <pic:cNvPicPr>
                            <a:picLocks noChangeAspect="1"/>
                          </pic:cNvPicPr>
                        </pic:nvPicPr>
                        <pic:blipFill>
                          <a:blip r:embed="rId9"/>
                          <a:stretch>
                            <a:fillRect/>
                          </a:stretch>
                        </pic:blipFill>
                        <pic:spPr>
                          <a:xfrm>
                            <a:off x="0" y="0"/>
                            <a:ext cx="2141855" cy="1134745"/>
                          </a:xfrm>
                          <a:prstGeom prst="rect">
                            <a:avLst/>
                          </a:prstGeom>
                          <a:noFill/>
                          <a:ln w="9525">
                            <a:noFill/>
                          </a:ln>
                        </pic:spPr>
                      </pic:pic>
                    </a:graphicData>
                  </a:graphic>
                </wp:inline>
              </w:drawing>
            </w:r>
          </w:p>
          <w:p>
            <w:pPr>
              <w:widowControl/>
              <w:jc w:val="center"/>
              <w:rPr>
                <w:rFonts w:hint="eastAsia" w:ascii="仿宋" w:hAnsi="仿宋" w:eastAsia="仿宋" w:cs="仿宋"/>
                <w:color w:val="auto"/>
                <w:sz w:val="24"/>
                <w:szCs w:val="24"/>
                <w:lang w:val="en-US" w:eastAsia="zh-CN"/>
              </w:rPr>
            </w:pPr>
            <w:r>
              <w:rPr>
                <w:rFonts w:hint="eastAsia" w:ascii="仿宋" w:hAnsi="仿宋" w:eastAsia="仿宋" w:cs="仿宋"/>
                <w:color w:val="auto"/>
                <w:sz w:val="24"/>
                <w:szCs w:val="24"/>
                <w:lang w:val="en-US" w:eastAsia="zh-CN"/>
              </w:rPr>
              <w:t>防止高处坠落物体打击示意</w:t>
            </w:r>
          </w:p>
        </w:tc>
      </w:tr>
    </w:tbl>
    <w:p>
      <w:pPr>
        <w:rPr>
          <w:rFonts w:ascii="宋体" w:hAnsi="宋体" w:eastAsia="宋体"/>
          <w:color w:val="auto"/>
          <w:sz w:val="28"/>
          <w:szCs w:val="32"/>
        </w:rPr>
      </w:pPr>
    </w:p>
    <w:p>
      <w:pPr>
        <w:rPr>
          <w:rFonts w:hint="eastAsia" w:ascii="宋体" w:hAnsi="宋体" w:eastAsia="宋体"/>
          <w:color w:val="auto"/>
          <w:sz w:val="28"/>
          <w:szCs w:val="32"/>
        </w:rPr>
      </w:pPr>
      <w:r>
        <w:rPr>
          <w:rFonts w:hint="eastAsia" w:ascii="宋体" w:hAnsi="宋体" w:eastAsia="宋体"/>
          <w:color w:val="auto"/>
          <w:sz w:val="28"/>
          <w:szCs w:val="32"/>
        </w:rPr>
        <w:br w:type="page"/>
      </w:r>
    </w:p>
    <w:p>
      <w:pPr>
        <w:rPr>
          <w:rFonts w:hint="eastAsia" w:ascii="楷体_GB2312" w:hAnsi="楷体_GB2312" w:eastAsia="楷体_GB2312" w:cs="楷体_GB2312"/>
          <w:color w:val="auto"/>
          <w:sz w:val="28"/>
          <w:szCs w:val="32"/>
        </w:rPr>
      </w:pPr>
      <w:r>
        <w:rPr>
          <w:rFonts w:hint="eastAsia" w:ascii="楷体_GB2312" w:hAnsi="楷体_GB2312" w:eastAsia="楷体_GB2312" w:cs="楷体_GB2312"/>
          <w:color w:val="auto"/>
          <w:sz w:val="28"/>
          <w:szCs w:val="32"/>
        </w:rPr>
        <w:t>2.冶金行业典型物体打击事故管控措施</w:t>
      </w:r>
    </w:p>
    <w:tbl>
      <w:tblPr>
        <w:tblStyle w:val="4"/>
        <w:tblW w:w="1489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57"/>
        <w:gridCol w:w="1022"/>
        <w:gridCol w:w="1725"/>
        <w:gridCol w:w="2014"/>
        <w:gridCol w:w="2592"/>
        <w:gridCol w:w="3310"/>
        <w:gridCol w:w="367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557" w:type="dxa"/>
            <w:shd w:val="clear" w:color="auto" w:fill="auto"/>
            <w:vAlign w:val="center"/>
          </w:tcPr>
          <w:p>
            <w:pPr>
              <w:widowControl/>
              <w:jc w:val="center"/>
              <w:rPr>
                <w:rFonts w:hint="eastAsia" w:ascii="黑体" w:hAnsi="黑体" w:eastAsia="黑体" w:cs="黑体"/>
                <w:color w:val="auto"/>
                <w:kern w:val="0"/>
                <w:szCs w:val="21"/>
              </w:rPr>
            </w:pPr>
            <w:r>
              <w:rPr>
                <w:rFonts w:hint="eastAsia" w:ascii="黑体" w:hAnsi="黑体" w:eastAsia="黑体" w:cs="黑体"/>
                <w:color w:val="auto"/>
                <w:kern w:val="0"/>
                <w:szCs w:val="21"/>
              </w:rPr>
              <w:t>序号</w:t>
            </w:r>
          </w:p>
        </w:tc>
        <w:tc>
          <w:tcPr>
            <w:tcW w:w="1022" w:type="dxa"/>
            <w:shd w:val="clear" w:color="auto" w:fill="auto"/>
            <w:vAlign w:val="center"/>
          </w:tcPr>
          <w:p>
            <w:pPr>
              <w:widowControl/>
              <w:jc w:val="center"/>
              <w:rPr>
                <w:rFonts w:hint="eastAsia" w:ascii="黑体" w:hAnsi="黑体" w:eastAsia="黑体" w:cs="黑体"/>
                <w:color w:val="auto"/>
                <w:kern w:val="0"/>
                <w:szCs w:val="21"/>
              </w:rPr>
            </w:pPr>
            <w:r>
              <w:rPr>
                <w:rFonts w:hint="eastAsia" w:ascii="黑体" w:hAnsi="黑体" w:eastAsia="黑体" w:cs="黑体"/>
                <w:color w:val="auto"/>
                <w:kern w:val="0"/>
                <w:szCs w:val="21"/>
              </w:rPr>
              <w:t>中类行业名称</w:t>
            </w:r>
          </w:p>
        </w:tc>
        <w:tc>
          <w:tcPr>
            <w:tcW w:w="1725" w:type="dxa"/>
            <w:shd w:val="clear" w:color="auto" w:fill="auto"/>
            <w:vAlign w:val="center"/>
          </w:tcPr>
          <w:p>
            <w:pPr>
              <w:widowControl/>
              <w:jc w:val="center"/>
              <w:rPr>
                <w:rFonts w:hint="eastAsia" w:ascii="黑体" w:hAnsi="黑体" w:eastAsia="黑体" w:cs="黑体"/>
                <w:color w:val="auto"/>
                <w:kern w:val="0"/>
                <w:szCs w:val="21"/>
              </w:rPr>
            </w:pPr>
            <w:r>
              <w:rPr>
                <w:rFonts w:hint="eastAsia" w:ascii="黑体" w:hAnsi="黑体" w:eastAsia="黑体" w:cs="黑体"/>
                <w:color w:val="auto"/>
                <w:kern w:val="0"/>
                <w:szCs w:val="21"/>
              </w:rPr>
              <w:t>典型设备设施或作业活动举例</w:t>
            </w:r>
          </w:p>
        </w:tc>
        <w:tc>
          <w:tcPr>
            <w:tcW w:w="2014" w:type="dxa"/>
            <w:shd w:val="clear" w:color="auto" w:fill="auto"/>
            <w:vAlign w:val="center"/>
          </w:tcPr>
          <w:p>
            <w:pPr>
              <w:widowControl/>
              <w:jc w:val="center"/>
              <w:rPr>
                <w:rFonts w:hint="eastAsia" w:ascii="黑体" w:hAnsi="黑体" w:eastAsia="黑体" w:cs="黑体"/>
                <w:color w:val="auto"/>
                <w:kern w:val="0"/>
                <w:szCs w:val="21"/>
              </w:rPr>
            </w:pPr>
            <w:r>
              <w:rPr>
                <w:rFonts w:hint="eastAsia" w:ascii="黑体" w:hAnsi="黑体" w:eastAsia="黑体" w:cs="黑体"/>
                <w:color w:val="auto"/>
                <w:kern w:val="0"/>
                <w:szCs w:val="21"/>
              </w:rPr>
              <w:t>事故原因</w:t>
            </w:r>
          </w:p>
        </w:tc>
        <w:tc>
          <w:tcPr>
            <w:tcW w:w="2592" w:type="dxa"/>
            <w:shd w:val="clear" w:color="auto" w:fill="auto"/>
            <w:vAlign w:val="center"/>
          </w:tcPr>
          <w:p>
            <w:pPr>
              <w:widowControl/>
              <w:jc w:val="center"/>
              <w:rPr>
                <w:rFonts w:hint="eastAsia" w:ascii="黑体" w:hAnsi="黑体" w:eastAsia="黑体" w:cs="黑体"/>
                <w:color w:val="auto"/>
                <w:kern w:val="0"/>
                <w:szCs w:val="21"/>
              </w:rPr>
            </w:pPr>
            <w:r>
              <w:rPr>
                <w:rFonts w:hint="eastAsia" w:ascii="黑体" w:hAnsi="黑体" w:eastAsia="黑体" w:cs="黑体"/>
                <w:color w:val="auto"/>
                <w:kern w:val="0"/>
                <w:szCs w:val="21"/>
              </w:rPr>
              <w:t>典型工程技术措施</w:t>
            </w:r>
          </w:p>
        </w:tc>
        <w:tc>
          <w:tcPr>
            <w:tcW w:w="3310" w:type="dxa"/>
            <w:shd w:val="clear" w:color="auto" w:fill="auto"/>
            <w:vAlign w:val="center"/>
          </w:tcPr>
          <w:p>
            <w:pPr>
              <w:widowControl/>
              <w:jc w:val="center"/>
              <w:rPr>
                <w:rFonts w:hint="eastAsia" w:ascii="黑体" w:hAnsi="黑体" w:eastAsia="黑体" w:cs="黑体"/>
                <w:color w:val="auto"/>
                <w:kern w:val="0"/>
                <w:szCs w:val="21"/>
              </w:rPr>
            </w:pPr>
            <w:r>
              <w:rPr>
                <w:rFonts w:hint="eastAsia" w:ascii="黑体" w:hAnsi="黑体" w:eastAsia="黑体" w:cs="黑体"/>
                <w:color w:val="auto"/>
                <w:kern w:val="0"/>
                <w:szCs w:val="21"/>
              </w:rPr>
              <w:t>典型的管理措施</w:t>
            </w:r>
          </w:p>
        </w:tc>
        <w:tc>
          <w:tcPr>
            <w:tcW w:w="3674" w:type="dxa"/>
            <w:shd w:val="clear" w:color="auto" w:fill="auto"/>
            <w:vAlign w:val="center"/>
          </w:tcPr>
          <w:p>
            <w:pPr>
              <w:widowControl/>
              <w:jc w:val="center"/>
              <w:rPr>
                <w:rFonts w:hint="eastAsia" w:ascii="黑体" w:hAnsi="黑体" w:eastAsia="黑体" w:cs="黑体"/>
                <w:color w:val="auto"/>
                <w:kern w:val="0"/>
                <w:szCs w:val="21"/>
              </w:rPr>
            </w:pPr>
            <w:r>
              <w:rPr>
                <w:rFonts w:hint="eastAsia" w:ascii="黑体" w:hAnsi="黑体" w:eastAsia="黑体" w:cs="黑体"/>
                <w:color w:val="auto"/>
                <w:kern w:val="0"/>
                <w:szCs w:val="21"/>
              </w:rPr>
              <w:t>好的做法示例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557" w:type="dxa"/>
            <w:shd w:val="clear" w:color="auto" w:fill="auto"/>
            <w:vAlign w:val="center"/>
          </w:tcPr>
          <w:p>
            <w:pPr>
              <w:widowControl/>
              <w:jc w:val="left"/>
              <w:rPr>
                <w:rFonts w:hint="eastAsia" w:ascii="仿宋" w:hAnsi="仿宋" w:eastAsia="仿宋" w:cs="仿宋"/>
                <w:color w:val="auto"/>
                <w:szCs w:val="21"/>
              </w:rPr>
            </w:pPr>
            <w:r>
              <w:rPr>
                <w:rFonts w:hint="eastAsia" w:ascii="仿宋" w:hAnsi="仿宋" w:eastAsia="仿宋" w:cs="仿宋"/>
                <w:color w:val="auto"/>
                <w:szCs w:val="21"/>
              </w:rPr>
              <w:t>1</w:t>
            </w:r>
          </w:p>
        </w:tc>
        <w:tc>
          <w:tcPr>
            <w:tcW w:w="1022" w:type="dxa"/>
            <w:shd w:val="clear" w:color="auto" w:fill="auto"/>
            <w:vAlign w:val="center"/>
          </w:tcPr>
          <w:p>
            <w:pPr>
              <w:widowControl/>
              <w:jc w:val="left"/>
              <w:rPr>
                <w:rFonts w:hint="eastAsia" w:ascii="仿宋" w:hAnsi="仿宋" w:eastAsia="仿宋" w:cs="仿宋"/>
                <w:color w:val="auto"/>
                <w:szCs w:val="21"/>
              </w:rPr>
            </w:pPr>
            <w:r>
              <w:rPr>
                <w:rFonts w:hint="eastAsia" w:ascii="仿宋" w:hAnsi="仿宋" w:eastAsia="仿宋" w:cs="仿宋"/>
                <w:color w:val="auto"/>
                <w:szCs w:val="21"/>
              </w:rPr>
              <w:t>黑色金属冶炼</w:t>
            </w:r>
          </w:p>
        </w:tc>
        <w:tc>
          <w:tcPr>
            <w:tcW w:w="1725" w:type="dxa"/>
            <w:shd w:val="clear" w:color="auto" w:fill="auto"/>
            <w:vAlign w:val="center"/>
          </w:tcPr>
          <w:p>
            <w:pPr>
              <w:widowControl/>
              <w:jc w:val="left"/>
              <w:rPr>
                <w:rFonts w:hint="eastAsia" w:ascii="仿宋" w:hAnsi="仿宋" w:eastAsia="仿宋" w:cs="仿宋"/>
                <w:color w:val="auto"/>
                <w:szCs w:val="21"/>
              </w:rPr>
            </w:pPr>
            <w:r>
              <w:rPr>
                <w:rFonts w:hint="eastAsia" w:ascii="仿宋" w:hAnsi="仿宋" w:eastAsia="仿宋" w:cs="仿宋"/>
                <w:color w:val="auto"/>
                <w:szCs w:val="21"/>
              </w:rPr>
              <w:t>钢材轧制</w:t>
            </w:r>
          </w:p>
        </w:tc>
        <w:tc>
          <w:tcPr>
            <w:tcW w:w="2014" w:type="dxa"/>
            <w:shd w:val="clear" w:color="auto" w:fill="auto"/>
            <w:vAlign w:val="center"/>
          </w:tcPr>
          <w:p>
            <w:pPr>
              <w:widowControl/>
              <w:jc w:val="left"/>
              <w:rPr>
                <w:rFonts w:hint="eastAsia" w:ascii="仿宋" w:hAnsi="仿宋" w:eastAsia="仿宋" w:cs="仿宋"/>
                <w:color w:val="auto"/>
                <w:szCs w:val="21"/>
              </w:rPr>
            </w:pPr>
            <w:r>
              <w:rPr>
                <w:rFonts w:hint="eastAsia" w:ascii="仿宋" w:hAnsi="仿宋" w:eastAsia="仿宋" w:cs="仿宋"/>
                <w:color w:val="auto"/>
                <w:szCs w:val="21"/>
              </w:rPr>
              <w:t>1.经过辊道、冷床、移送机和运输机等设备的人行通道无防护护栏。</w:t>
            </w:r>
          </w:p>
          <w:p>
            <w:pPr>
              <w:widowControl/>
              <w:jc w:val="left"/>
              <w:rPr>
                <w:rFonts w:hint="eastAsia" w:ascii="仿宋" w:hAnsi="仿宋" w:eastAsia="仿宋" w:cs="仿宋"/>
                <w:color w:val="auto"/>
                <w:szCs w:val="21"/>
              </w:rPr>
            </w:pPr>
            <w:r>
              <w:rPr>
                <w:rFonts w:hint="eastAsia" w:ascii="仿宋" w:hAnsi="仿宋" w:eastAsia="仿宋" w:cs="仿宋"/>
                <w:color w:val="auto"/>
                <w:szCs w:val="21"/>
              </w:rPr>
              <w:t>2.轧线飞钢容易导致操作人员挤、碰伤。</w:t>
            </w:r>
          </w:p>
        </w:tc>
        <w:tc>
          <w:tcPr>
            <w:tcW w:w="2592" w:type="dxa"/>
            <w:shd w:val="clear" w:color="auto" w:fill="auto"/>
            <w:vAlign w:val="center"/>
          </w:tcPr>
          <w:p>
            <w:pPr>
              <w:widowControl/>
              <w:jc w:val="left"/>
              <w:rPr>
                <w:rFonts w:hint="eastAsia" w:ascii="仿宋" w:hAnsi="仿宋" w:eastAsia="仿宋" w:cs="仿宋"/>
                <w:color w:val="auto"/>
                <w:szCs w:val="21"/>
              </w:rPr>
            </w:pPr>
            <w:r>
              <w:rPr>
                <w:rFonts w:hint="eastAsia" w:ascii="仿宋" w:hAnsi="仿宋" w:eastAsia="仿宋" w:cs="仿宋"/>
                <w:color w:val="auto"/>
                <w:szCs w:val="21"/>
              </w:rPr>
              <w:t>1.设置过桥，桥宽不小于0.8m，两侧设不低于1.05m的防护栏杆。</w:t>
            </w:r>
          </w:p>
          <w:p>
            <w:pPr>
              <w:widowControl/>
              <w:jc w:val="left"/>
              <w:rPr>
                <w:rFonts w:hint="eastAsia" w:ascii="仿宋" w:hAnsi="仿宋" w:eastAsia="仿宋" w:cs="仿宋"/>
                <w:color w:val="auto"/>
                <w:szCs w:val="21"/>
              </w:rPr>
            </w:pPr>
            <w:r>
              <w:rPr>
                <w:rFonts w:hint="eastAsia" w:ascii="仿宋" w:hAnsi="仿宋" w:eastAsia="仿宋" w:cs="仿宋"/>
                <w:color w:val="auto"/>
                <w:szCs w:val="21"/>
              </w:rPr>
              <w:t>2.跨越输送灼热金属的天桥，两侧设不低于1.5m的防护挡板。</w:t>
            </w:r>
          </w:p>
          <w:p>
            <w:pPr>
              <w:widowControl/>
              <w:jc w:val="left"/>
              <w:rPr>
                <w:rFonts w:hint="eastAsia" w:ascii="仿宋" w:hAnsi="仿宋" w:eastAsia="仿宋" w:cs="仿宋"/>
                <w:color w:val="auto"/>
                <w:szCs w:val="21"/>
              </w:rPr>
            </w:pPr>
            <w:r>
              <w:rPr>
                <w:rFonts w:hint="eastAsia" w:ascii="仿宋" w:hAnsi="仿宋" w:eastAsia="仿宋" w:cs="仿宋"/>
                <w:color w:val="auto"/>
                <w:szCs w:val="21"/>
              </w:rPr>
              <w:t>3.有可能发生飞溅金属屑、渣或氧化铁皮处的人行天桥，两侧应设置不低于2.0m的防护挡板。</w:t>
            </w:r>
          </w:p>
          <w:p>
            <w:pPr>
              <w:widowControl/>
              <w:jc w:val="left"/>
              <w:rPr>
                <w:rFonts w:hint="eastAsia" w:ascii="仿宋" w:hAnsi="仿宋" w:eastAsia="仿宋" w:cs="仿宋"/>
                <w:color w:val="auto"/>
                <w:szCs w:val="21"/>
              </w:rPr>
            </w:pPr>
            <w:r>
              <w:rPr>
                <w:rFonts w:hint="eastAsia" w:ascii="仿宋" w:hAnsi="仿宋" w:eastAsia="仿宋" w:cs="仿宋"/>
                <w:color w:val="auto"/>
                <w:szCs w:val="21"/>
              </w:rPr>
              <w:t>4.有高速轧件上窜危险处的人行天桥，应设置金属网罩，其网眼应小于最小轧件的尺寸。</w:t>
            </w:r>
          </w:p>
        </w:tc>
        <w:tc>
          <w:tcPr>
            <w:tcW w:w="3310" w:type="dxa"/>
            <w:shd w:val="clear" w:color="auto" w:fill="auto"/>
            <w:vAlign w:val="center"/>
          </w:tcPr>
          <w:p>
            <w:pPr>
              <w:widowControl/>
              <w:jc w:val="left"/>
              <w:rPr>
                <w:rFonts w:hint="eastAsia" w:ascii="仿宋" w:hAnsi="仿宋" w:eastAsia="仿宋" w:cs="仿宋"/>
                <w:color w:val="auto"/>
                <w:szCs w:val="21"/>
              </w:rPr>
            </w:pPr>
            <w:r>
              <w:rPr>
                <w:rFonts w:hint="eastAsia" w:ascii="仿宋" w:hAnsi="仿宋" w:eastAsia="仿宋" w:cs="仿宋"/>
                <w:color w:val="auto"/>
                <w:szCs w:val="21"/>
              </w:rPr>
              <w:t>天桥两侧加装“禁止停留”、“红钢通过时禁止通行”等安全警示标示。</w:t>
            </w:r>
          </w:p>
        </w:tc>
        <w:tc>
          <w:tcPr>
            <w:tcW w:w="3674" w:type="dxa"/>
            <w:shd w:val="clear" w:color="auto" w:fill="auto"/>
            <w:vAlign w:val="center"/>
          </w:tcPr>
          <w:p>
            <w:pPr>
              <w:widowControl/>
              <w:jc w:val="center"/>
              <w:rPr>
                <w:rFonts w:hint="eastAsia" w:ascii="仿宋" w:hAnsi="仿宋" w:eastAsia="仿宋" w:cs="仿宋"/>
                <w:color w:val="auto"/>
              </w:rPr>
            </w:pPr>
            <w:r>
              <w:rPr>
                <w:rFonts w:hint="eastAsia" w:ascii="仿宋" w:hAnsi="仿宋" w:eastAsia="仿宋" w:cs="仿宋"/>
                <w:color w:val="auto"/>
              </w:rPr>
              <w:object>
                <v:shape id="_x0000_i1025" o:spt="75" type="#_x0000_t75" style="height:136.9pt;width:138.15pt;" o:ole="t" filled="f" o:preferrelative="t" stroked="f" coordsize="21600,21600">
                  <v:path/>
                  <v:fill on="f" focussize="0,0"/>
                  <v:stroke on="f" joinstyle="miter"/>
                  <v:imagedata r:id="rId11" o:title=""/>
                  <o:lock v:ext="edit" aspectratio="t"/>
                  <w10:wrap type="none"/>
                  <w10:anchorlock/>
                </v:shape>
                <o:OLEObject Type="Embed" ProgID="PBrush" ShapeID="_x0000_i1025" DrawAspect="Content" ObjectID="_1468075725" r:id="rId10">
                  <o:LockedField>false</o:LockedField>
                </o:OLEObject>
              </w:object>
            </w:r>
          </w:p>
          <w:p>
            <w:pPr>
              <w:widowControl/>
              <w:rPr>
                <w:rFonts w:hint="eastAsia" w:ascii="仿宋" w:hAnsi="仿宋" w:eastAsia="仿宋" w:cs="仿宋"/>
                <w:color w:val="auto"/>
                <w:sz w:val="20"/>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557" w:type="dxa"/>
            <w:shd w:val="clear" w:color="auto" w:fill="auto"/>
            <w:vAlign w:val="center"/>
          </w:tcPr>
          <w:p>
            <w:pPr>
              <w:widowControl/>
              <w:jc w:val="left"/>
              <w:rPr>
                <w:rFonts w:hint="eastAsia" w:ascii="仿宋" w:hAnsi="仿宋" w:eastAsia="仿宋" w:cs="仿宋"/>
                <w:color w:val="auto"/>
                <w:szCs w:val="21"/>
              </w:rPr>
            </w:pPr>
            <w:r>
              <w:rPr>
                <w:rFonts w:hint="eastAsia" w:ascii="仿宋" w:hAnsi="仿宋" w:eastAsia="仿宋" w:cs="仿宋"/>
                <w:color w:val="auto"/>
                <w:szCs w:val="21"/>
              </w:rPr>
              <w:t>2</w:t>
            </w:r>
          </w:p>
        </w:tc>
        <w:tc>
          <w:tcPr>
            <w:tcW w:w="1022" w:type="dxa"/>
            <w:shd w:val="clear" w:color="auto" w:fill="auto"/>
            <w:vAlign w:val="center"/>
          </w:tcPr>
          <w:p>
            <w:pPr>
              <w:widowControl/>
              <w:jc w:val="left"/>
              <w:rPr>
                <w:rFonts w:hint="eastAsia" w:ascii="仿宋" w:hAnsi="仿宋" w:eastAsia="仿宋" w:cs="仿宋"/>
                <w:color w:val="auto"/>
                <w:szCs w:val="21"/>
              </w:rPr>
            </w:pPr>
            <w:r>
              <w:rPr>
                <w:rFonts w:hint="eastAsia" w:ascii="仿宋" w:hAnsi="仿宋" w:eastAsia="仿宋" w:cs="仿宋"/>
                <w:color w:val="auto"/>
                <w:szCs w:val="21"/>
              </w:rPr>
              <w:t>黑色金属冶炼</w:t>
            </w:r>
          </w:p>
        </w:tc>
        <w:tc>
          <w:tcPr>
            <w:tcW w:w="1725" w:type="dxa"/>
            <w:shd w:val="clear" w:color="auto" w:fill="auto"/>
            <w:vAlign w:val="center"/>
          </w:tcPr>
          <w:p>
            <w:pPr>
              <w:widowControl/>
              <w:jc w:val="left"/>
              <w:rPr>
                <w:rFonts w:hint="eastAsia" w:ascii="仿宋" w:hAnsi="仿宋" w:eastAsia="仿宋" w:cs="仿宋"/>
                <w:color w:val="auto"/>
                <w:szCs w:val="21"/>
              </w:rPr>
            </w:pPr>
            <w:r>
              <w:rPr>
                <w:rFonts w:hint="eastAsia" w:ascii="仿宋" w:hAnsi="仿宋" w:eastAsia="仿宋" w:cs="仿宋"/>
                <w:color w:val="auto"/>
                <w:szCs w:val="21"/>
              </w:rPr>
              <w:t>液压系统</w:t>
            </w:r>
          </w:p>
        </w:tc>
        <w:tc>
          <w:tcPr>
            <w:tcW w:w="2014" w:type="dxa"/>
            <w:shd w:val="clear" w:color="auto" w:fill="auto"/>
            <w:vAlign w:val="center"/>
          </w:tcPr>
          <w:p>
            <w:pPr>
              <w:widowControl/>
              <w:jc w:val="left"/>
              <w:rPr>
                <w:rFonts w:hint="eastAsia" w:ascii="仿宋" w:hAnsi="仿宋" w:eastAsia="仿宋" w:cs="仿宋"/>
                <w:color w:val="auto"/>
                <w:szCs w:val="21"/>
              </w:rPr>
            </w:pPr>
            <w:r>
              <w:rPr>
                <w:rFonts w:hint="eastAsia" w:ascii="仿宋" w:hAnsi="仿宋" w:eastAsia="仿宋" w:cs="仿宋"/>
                <w:color w:val="auto"/>
                <w:szCs w:val="21"/>
              </w:rPr>
              <w:t>液压管路断裂后高压液压油冲出，容易造成人员打击伤。</w:t>
            </w:r>
          </w:p>
        </w:tc>
        <w:tc>
          <w:tcPr>
            <w:tcW w:w="2592" w:type="dxa"/>
            <w:shd w:val="clear" w:color="auto" w:fill="auto"/>
            <w:vAlign w:val="center"/>
          </w:tcPr>
          <w:p>
            <w:pPr>
              <w:widowControl/>
              <w:jc w:val="left"/>
              <w:rPr>
                <w:rFonts w:hint="eastAsia" w:ascii="仿宋" w:hAnsi="仿宋" w:eastAsia="仿宋" w:cs="仿宋"/>
                <w:color w:val="auto"/>
                <w:szCs w:val="21"/>
              </w:rPr>
            </w:pPr>
            <w:r>
              <w:rPr>
                <w:rFonts w:hint="eastAsia" w:ascii="仿宋" w:hAnsi="仿宋" w:eastAsia="仿宋" w:cs="仿宋"/>
                <w:color w:val="auto"/>
                <w:szCs w:val="21"/>
              </w:rPr>
              <w:t>1.液压站、阀台、蓄势器和液压管路，应有安全阀。</w:t>
            </w:r>
          </w:p>
          <w:p>
            <w:pPr>
              <w:widowControl/>
              <w:jc w:val="left"/>
              <w:rPr>
                <w:rFonts w:hint="eastAsia" w:ascii="仿宋" w:hAnsi="仿宋" w:eastAsia="仿宋" w:cs="仿宋"/>
                <w:color w:val="auto"/>
                <w:szCs w:val="21"/>
              </w:rPr>
            </w:pPr>
            <w:r>
              <w:rPr>
                <w:rFonts w:hint="eastAsia" w:ascii="仿宋" w:hAnsi="仿宋" w:eastAsia="仿宋" w:cs="仿宋"/>
                <w:color w:val="auto"/>
                <w:szCs w:val="21"/>
              </w:rPr>
              <w:t>2.减压阀、液压控制阀、截止阀和蓄势器与油路之间应有紧急闭锁装置。</w:t>
            </w:r>
          </w:p>
        </w:tc>
        <w:tc>
          <w:tcPr>
            <w:tcW w:w="3310" w:type="dxa"/>
            <w:shd w:val="clear" w:color="auto" w:fill="auto"/>
            <w:vAlign w:val="center"/>
          </w:tcPr>
          <w:p>
            <w:pPr>
              <w:widowControl/>
              <w:jc w:val="left"/>
              <w:rPr>
                <w:rFonts w:hint="eastAsia" w:ascii="仿宋" w:hAnsi="仿宋" w:eastAsia="仿宋" w:cs="仿宋"/>
                <w:color w:val="auto"/>
                <w:szCs w:val="21"/>
              </w:rPr>
            </w:pPr>
            <w:r>
              <w:rPr>
                <w:rFonts w:hint="eastAsia" w:ascii="仿宋" w:hAnsi="仿宋" w:eastAsia="仿宋" w:cs="仿宋"/>
                <w:color w:val="auto"/>
                <w:szCs w:val="21"/>
              </w:rPr>
              <w:t>加强巡检力度，发现液压管路出现泄漏、裂纹等情况立即切断介质阀门，有效泄压后进行维修。</w:t>
            </w:r>
          </w:p>
        </w:tc>
        <w:tc>
          <w:tcPr>
            <w:tcW w:w="3674" w:type="dxa"/>
            <w:shd w:val="clear" w:color="auto" w:fill="auto"/>
            <w:vAlign w:val="center"/>
          </w:tcPr>
          <w:p>
            <w:pPr>
              <w:widowControl/>
              <w:jc w:val="center"/>
              <w:rPr>
                <w:rFonts w:hint="eastAsia" w:ascii="仿宋" w:hAnsi="仿宋" w:eastAsia="仿宋" w:cs="仿宋"/>
                <w:color w:val="auto"/>
              </w:rPr>
            </w:pPr>
            <w:r>
              <w:rPr>
                <w:rFonts w:hint="eastAsia" w:ascii="仿宋" w:hAnsi="仿宋" w:eastAsia="仿宋" w:cs="仿宋"/>
                <w:color w:val="auto"/>
              </w:rPr>
              <w:object>
                <v:shape id="_x0000_i1026" o:spt="75" type="#_x0000_t75" style="height:136.9pt;width:136.9pt;" o:ole="t" filled="f" o:preferrelative="t" stroked="f" coordsize="21600,21600">
                  <v:path/>
                  <v:fill on="f" focussize="0,0"/>
                  <v:stroke on="f" joinstyle="miter"/>
                  <v:imagedata r:id="rId13" o:title=""/>
                  <o:lock v:ext="edit" aspectratio="t"/>
                  <w10:wrap type="none"/>
                  <w10:anchorlock/>
                </v:shape>
                <o:OLEObject Type="Embed" ProgID="PBrush" ShapeID="_x0000_i1026" DrawAspect="Content" ObjectID="_1468075726" r:id="rId12">
                  <o:LockedField>false</o:LockedField>
                </o:OLEObject>
              </w:object>
            </w:r>
          </w:p>
          <w:p>
            <w:pPr>
              <w:widowControl/>
              <w:jc w:val="center"/>
              <w:rPr>
                <w:rFonts w:hint="eastAsia" w:ascii="仿宋" w:hAnsi="仿宋" w:eastAsia="仿宋" w:cs="仿宋"/>
                <w:color w:val="auto"/>
                <w:sz w:val="20"/>
                <w:szCs w:val="20"/>
              </w:rPr>
            </w:pPr>
            <w:r>
              <w:rPr>
                <w:rFonts w:hint="eastAsia" w:ascii="仿宋" w:hAnsi="仿宋" w:eastAsia="仿宋" w:cs="仿宋"/>
                <w:color w:val="auto"/>
              </w:rPr>
              <w:object>
                <v:shape id="_x0000_i1027" o:spt="75" type="#_x0000_t75" style="height:135.25pt;width:138.6pt;" o:ole="t" filled="f" o:preferrelative="t" stroked="f" coordsize="21600,21600">
                  <v:path/>
                  <v:fill on="f" focussize="0,0"/>
                  <v:stroke on="f" joinstyle="miter"/>
                  <v:imagedata r:id="rId15" o:title=""/>
                  <o:lock v:ext="edit" aspectratio="t"/>
                  <w10:wrap type="none"/>
                  <w10:anchorlock/>
                </v:shape>
                <o:OLEObject Type="Embed" ProgID="PBrush" ShapeID="_x0000_i1027" DrawAspect="Content" ObjectID="_1468075727" r:id="rId14">
                  <o:LockedField>false</o:LockedField>
                </o:OLEObject>
              </w:objec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557" w:type="dxa"/>
            <w:shd w:val="clear" w:color="auto" w:fill="auto"/>
            <w:vAlign w:val="center"/>
          </w:tcPr>
          <w:p>
            <w:pPr>
              <w:widowControl/>
              <w:jc w:val="left"/>
              <w:rPr>
                <w:rFonts w:hint="eastAsia" w:ascii="仿宋" w:hAnsi="仿宋" w:eastAsia="仿宋" w:cs="仿宋"/>
                <w:color w:val="auto"/>
                <w:szCs w:val="21"/>
              </w:rPr>
            </w:pPr>
            <w:r>
              <w:rPr>
                <w:rFonts w:hint="eastAsia" w:ascii="仿宋" w:hAnsi="仿宋" w:eastAsia="仿宋" w:cs="仿宋"/>
                <w:color w:val="auto"/>
                <w:szCs w:val="21"/>
              </w:rPr>
              <w:t>3</w:t>
            </w:r>
          </w:p>
        </w:tc>
        <w:tc>
          <w:tcPr>
            <w:tcW w:w="1022" w:type="dxa"/>
            <w:shd w:val="clear" w:color="auto" w:fill="auto"/>
            <w:vAlign w:val="center"/>
          </w:tcPr>
          <w:p>
            <w:pPr>
              <w:widowControl/>
              <w:jc w:val="left"/>
              <w:rPr>
                <w:rFonts w:hint="eastAsia" w:ascii="仿宋" w:hAnsi="仿宋" w:eastAsia="仿宋" w:cs="仿宋"/>
                <w:color w:val="auto"/>
                <w:szCs w:val="21"/>
              </w:rPr>
            </w:pPr>
            <w:r>
              <w:rPr>
                <w:rFonts w:hint="eastAsia" w:ascii="仿宋" w:hAnsi="仿宋" w:eastAsia="仿宋" w:cs="仿宋"/>
                <w:color w:val="auto"/>
                <w:szCs w:val="21"/>
              </w:rPr>
              <w:t>黑色金属冶炼</w:t>
            </w:r>
          </w:p>
        </w:tc>
        <w:tc>
          <w:tcPr>
            <w:tcW w:w="1725" w:type="dxa"/>
            <w:shd w:val="clear" w:color="auto" w:fill="auto"/>
            <w:vAlign w:val="center"/>
          </w:tcPr>
          <w:p>
            <w:pPr>
              <w:widowControl/>
              <w:jc w:val="left"/>
              <w:rPr>
                <w:rFonts w:hint="eastAsia" w:ascii="仿宋" w:hAnsi="仿宋" w:eastAsia="仿宋" w:cs="仿宋"/>
                <w:color w:val="auto"/>
                <w:szCs w:val="21"/>
              </w:rPr>
            </w:pPr>
            <w:r>
              <w:rPr>
                <w:rFonts w:hint="eastAsia" w:ascii="仿宋" w:hAnsi="仿宋" w:eastAsia="仿宋" w:cs="仿宋"/>
                <w:color w:val="auto"/>
                <w:szCs w:val="21"/>
              </w:rPr>
              <w:t>钢坯堆放</w:t>
            </w:r>
          </w:p>
        </w:tc>
        <w:tc>
          <w:tcPr>
            <w:tcW w:w="2014" w:type="dxa"/>
            <w:shd w:val="clear" w:color="auto" w:fill="auto"/>
            <w:vAlign w:val="center"/>
          </w:tcPr>
          <w:p>
            <w:pPr>
              <w:widowControl/>
              <w:jc w:val="left"/>
              <w:rPr>
                <w:rFonts w:hint="eastAsia" w:ascii="仿宋" w:hAnsi="仿宋" w:eastAsia="仿宋" w:cs="仿宋"/>
                <w:color w:val="auto"/>
                <w:szCs w:val="21"/>
              </w:rPr>
            </w:pPr>
            <w:r>
              <w:rPr>
                <w:rFonts w:hint="eastAsia" w:ascii="仿宋" w:hAnsi="仿宋" w:eastAsia="仿宋" w:cs="仿宋"/>
                <w:color w:val="auto"/>
                <w:szCs w:val="21"/>
              </w:rPr>
              <w:t>钢材无序堆放，放置不稳容易导致钢材坍塌，造成人员挤伤、砸伤。</w:t>
            </w:r>
          </w:p>
        </w:tc>
        <w:tc>
          <w:tcPr>
            <w:tcW w:w="2592" w:type="dxa"/>
            <w:shd w:val="clear" w:color="auto" w:fill="auto"/>
            <w:vAlign w:val="center"/>
          </w:tcPr>
          <w:p>
            <w:pPr>
              <w:widowControl/>
              <w:jc w:val="left"/>
              <w:rPr>
                <w:rFonts w:hint="eastAsia" w:ascii="仿宋" w:hAnsi="仿宋" w:eastAsia="仿宋" w:cs="仿宋"/>
                <w:color w:val="auto"/>
                <w:szCs w:val="21"/>
              </w:rPr>
            </w:pPr>
            <w:r>
              <w:rPr>
                <w:rFonts w:hint="eastAsia" w:ascii="仿宋" w:hAnsi="仿宋" w:eastAsia="仿宋" w:cs="仿宋"/>
                <w:color w:val="auto"/>
                <w:szCs w:val="21"/>
              </w:rPr>
              <w:t>1.钢坯堆放的地面应平整，堆垛要放置平稳整齐。</w:t>
            </w:r>
          </w:p>
          <w:p>
            <w:pPr>
              <w:widowControl/>
              <w:jc w:val="left"/>
              <w:rPr>
                <w:rFonts w:hint="eastAsia" w:ascii="仿宋" w:hAnsi="仿宋" w:eastAsia="仿宋" w:cs="仿宋"/>
                <w:color w:val="auto"/>
                <w:szCs w:val="21"/>
              </w:rPr>
            </w:pPr>
            <w:r>
              <w:rPr>
                <w:rFonts w:hint="eastAsia" w:ascii="仿宋" w:hAnsi="仿宋" w:eastAsia="仿宋" w:cs="仿宋"/>
                <w:color w:val="auto"/>
                <w:szCs w:val="21"/>
              </w:rPr>
              <w:t>2.垛间保持一定安全距离。</w:t>
            </w:r>
          </w:p>
          <w:p>
            <w:pPr>
              <w:widowControl/>
              <w:jc w:val="left"/>
              <w:rPr>
                <w:rFonts w:hint="eastAsia" w:ascii="仿宋" w:hAnsi="仿宋" w:eastAsia="仿宋" w:cs="仿宋"/>
                <w:color w:val="auto"/>
                <w:szCs w:val="21"/>
              </w:rPr>
            </w:pPr>
            <w:r>
              <w:rPr>
                <w:rFonts w:hint="eastAsia" w:ascii="仿宋" w:hAnsi="仿宋" w:eastAsia="仿宋" w:cs="仿宋"/>
                <w:color w:val="auto"/>
                <w:szCs w:val="21"/>
              </w:rPr>
              <w:t>3.有钢架堆放的垛高不超过钢架高度，无钢架堆放的钢坯层间要交叉放置，垛高要求不超过4.5m，且不影响起重机作业和司机视线。</w:t>
            </w:r>
          </w:p>
        </w:tc>
        <w:tc>
          <w:tcPr>
            <w:tcW w:w="3310" w:type="dxa"/>
            <w:shd w:val="clear" w:color="auto" w:fill="auto"/>
            <w:vAlign w:val="center"/>
          </w:tcPr>
          <w:p>
            <w:pPr>
              <w:widowControl/>
              <w:jc w:val="left"/>
              <w:rPr>
                <w:rFonts w:hint="eastAsia" w:ascii="仿宋" w:hAnsi="仿宋" w:eastAsia="仿宋" w:cs="仿宋"/>
                <w:color w:val="auto"/>
                <w:szCs w:val="21"/>
              </w:rPr>
            </w:pPr>
            <w:r>
              <w:rPr>
                <w:rFonts w:hint="eastAsia" w:ascii="仿宋" w:hAnsi="仿宋" w:eastAsia="仿宋" w:cs="仿宋"/>
                <w:color w:val="auto"/>
                <w:szCs w:val="21"/>
              </w:rPr>
              <w:t>1.钢材吊运过程中，钢垛周围严禁站人。</w:t>
            </w:r>
          </w:p>
          <w:p>
            <w:pPr>
              <w:widowControl/>
              <w:jc w:val="left"/>
              <w:rPr>
                <w:rFonts w:hint="eastAsia" w:ascii="仿宋" w:hAnsi="仿宋" w:eastAsia="仿宋" w:cs="仿宋"/>
                <w:color w:val="auto"/>
                <w:szCs w:val="21"/>
              </w:rPr>
            </w:pPr>
            <w:r>
              <w:rPr>
                <w:rFonts w:hint="eastAsia" w:ascii="仿宋" w:hAnsi="仿宋" w:eastAsia="仿宋" w:cs="仿宋"/>
                <w:color w:val="auto"/>
                <w:szCs w:val="21"/>
              </w:rPr>
              <w:t>2.钢垛设警示标示。</w:t>
            </w:r>
          </w:p>
        </w:tc>
        <w:tc>
          <w:tcPr>
            <w:tcW w:w="3674" w:type="dxa"/>
            <w:shd w:val="clear" w:color="auto" w:fill="auto"/>
            <w:vAlign w:val="center"/>
          </w:tcPr>
          <w:p>
            <w:pPr>
              <w:widowControl/>
              <w:jc w:val="center"/>
              <w:rPr>
                <w:rFonts w:hint="eastAsia" w:ascii="仿宋" w:hAnsi="仿宋" w:eastAsia="仿宋" w:cs="仿宋"/>
                <w:color w:val="auto"/>
              </w:rPr>
            </w:pPr>
            <w:r>
              <w:rPr>
                <w:rFonts w:hint="eastAsia" w:ascii="仿宋" w:hAnsi="仿宋" w:eastAsia="仿宋" w:cs="仿宋"/>
                <w:color w:val="auto"/>
              </w:rPr>
              <w:object>
                <v:shape id="_x0000_i1028" o:spt="75" type="#_x0000_t75" style="height:135.25pt;width:135.25pt;" o:ole="t" filled="f" o:preferrelative="t" stroked="f" coordsize="21600,21600">
                  <v:path/>
                  <v:fill on="f" focussize="0,0"/>
                  <v:stroke on="f" joinstyle="miter"/>
                  <v:imagedata r:id="rId17" o:title=""/>
                  <o:lock v:ext="edit" aspectratio="t"/>
                  <w10:wrap type="none"/>
                  <w10:anchorlock/>
                </v:shape>
                <o:OLEObject Type="Embed" ProgID="PBrush" ShapeID="_x0000_i1028" DrawAspect="Content" ObjectID="_1468075728" r:id="rId16">
                  <o:LockedField>false</o:LockedField>
                </o:OLEObject>
              </w:object>
            </w:r>
          </w:p>
          <w:p>
            <w:pPr>
              <w:widowControl/>
              <w:jc w:val="center"/>
              <w:rPr>
                <w:rFonts w:hint="eastAsia" w:ascii="仿宋" w:hAnsi="仿宋" w:eastAsia="仿宋" w:cs="仿宋"/>
                <w:color w:val="auto"/>
                <w:sz w:val="20"/>
                <w:szCs w:val="20"/>
              </w:rPr>
            </w:pPr>
            <w:r>
              <w:rPr>
                <w:rFonts w:hint="eastAsia" w:ascii="仿宋" w:hAnsi="仿宋" w:eastAsia="仿宋" w:cs="仿宋"/>
                <w:color w:val="auto"/>
              </w:rPr>
              <w:object>
                <v:shape id="_x0000_i1029" o:spt="75" type="#_x0000_t75" style="height:139.4pt;width:137.75pt;" o:ole="t" filled="f" o:preferrelative="t" stroked="f" coordsize="21600,21600">
                  <v:path/>
                  <v:fill on="f" focussize="0,0"/>
                  <v:stroke on="f" joinstyle="miter"/>
                  <v:imagedata r:id="rId19" o:title=""/>
                  <o:lock v:ext="edit" aspectratio="t"/>
                  <w10:wrap type="none"/>
                  <w10:anchorlock/>
                </v:shape>
                <o:OLEObject Type="Embed" ProgID="PBrush" ShapeID="_x0000_i1029" DrawAspect="Content" ObjectID="_1468075729" r:id="rId18">
                  <o:LockedField>false</o:LockedField>
                </o:OLEObject>
              </w:objec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557" w:type="dxa"/>
            <w:shd w:val="clear" w:color="auto" w:fill="auto"/>
            <w:vAlign w:val="center"/>
          </w:tcPr>
          <w:p>
            <w:pPr>
              <w:widowControl/>
              <w:jc w:val="left"/>
              <w:rPr>
                <w:rFonts w:hint="eastAsia" w:ascii="仿宋" w:hAnsi="仿宋" w:eastAsia="仿宋" w:cs="仿宋"/>
                <w:color w:val="auto"/>
                <w:szCs w:val="21"/>
              </w:rPr>
            </w:pPr>
            <w:r>
              <w:rPr>
                <w:rFonts w:hint="eastAsia" w:ascii="仿宋" w:hAnsi="仿宋" w:eastAsia="仿宋" w:cs="仿宋"/>
                <w:color w:val="auto"/>
                <w:szCs w:val="21"/>
              </w:rPr>
              <w:t>4</w:t>
            </w:r>
          </w:p>
        </w:tc>
        <w:tc>
          <w:tcPr>
            <w:tcW w:w="1022" w:type="dxa"/>
            <w:shd w:val="clear" w:color="auto" w:fill="auto"/>
            <w:vAlign w:val="center"/>
          </w:tcPr>
          <w:p>
            <w:pPr>
              <w:widowControl/>
              <w:jc w:val="left"/>
              <w:rPr>
                <w:rFonts w:hint="eastAsia" w:ascii="仿宋" w:hAnsi="仿宋" w:eastAsia="仿宋" w:cs="仿宋"/>
                <w:color w:val="auto"/>
                <w:szCs w:val="21"/>
              </w:rPr>
            </w:pPr>
            <w:r>
              <w:rPr>
                <w:rFonts w:hint="eastAsia" w:ascii="仿宋" w:hAnsi="仿宋" w:eastAsia="仿宋" w:cs="仿宋"/>
                <w:color w:val="auto"/>
                <w:szCs w:val="21"/>
              </w:rPr>
              <w:t>黑色金属冶炼</w:t>
            </w:r>
          </w:p>
        </w:tc>
        <w:tc>
          <w:tcPr>
            <w:tcW w:w="1725" w:type="dxa"/>
            <w:shd w:val="clear" w:color="auto" w:fill="auto"/>
            <w:vAlign w:val="center"/>
          </w:tcPr>
          <w:p>
            <w:pPr>
              <w:widowControl/>
              <w:jc w:val="left"/>
              <w:rPr>
                <w:rFonts w:hint="eastAsia" w:ascii="仿宋" w:hAnsi="仿宋" w:eastAsia="仿宋" w:cs="仿宋"/>
                <w:color w:val="auto"/>
                <w:szCs w:val="21"/>
              </w:rPr>
            </w:pPr>
            <w:r>
              <w:rPr>
                <w:rFonts w:hint="eastAsia" w:ascii="仿宋" w:hAnsi="仿宋" w:eastAsia="仿宋" w:cs="仿宋"/>
                <w:color w:val="auto"/>
                <w:szCs w:val="21"/>
              </w:rPr>
              <w:t>废钢装卸</w:t>
            </w:r>
          </w:p>
        </w:tc>
        <w:tc>
          <w:tcPr>
            <w:tcW w:w="2014" w:type="dxa"/>
            <w:shd w:val="clear" w:color="auto" w:fill="auto"/>
            <w:vAlign w:val="center"/>
          </w:tcPr>
          <w:p>
            <w:pPr>
              <w:widowControl/>
              <w:jc w:val="left"/>
              <w:rPr>
                <w:rFonts w:hint="eastAsia" w:ascii="仿宋" w:hAnsi="仿宋" w:eastAsia="仿宋" w:cs="仿宋"/>
                <w:color w:val="auto"/>
                <w:szCs w:val="21"/>
              </w:rPr>
            </w:pPr>
            <w:r>
              <w:rPr>
                <w:rFonts w:hint="eastAsia" w:ascii="仿宋" w:hAnsi="仿宋" w:eastAsia="仿宋" w:cs="仿宋"/>
                <w:color w:val="auto"/>
                <w:szCs w:val="21"/>
              </w:rPr>
              <w:t>使用电磁吊装卸废钢时废钢掉落导致人员砸伤。</w:t>
            </w:r>
          </w:p>
        </w:tc>
        <w:tc>
          <w:tcPr>
            <w:tcW w:w="2592" w:type="dxa"/>
            <w:shd w:val="clear" w:color="auto" w:fill="auto"/>
            <w:vAlign w:val="center"/>
          </w:tcPr>
          <w:p>
            <w:pPr>
              <w:widowControl/>
              <w:jc w:val="left"/>
              <w:rPr>
                <w:rFonts w:hint="eastAsia" w:ascii="仿宋" w:hAnsi="仿宋" w:eastAsia="仿宋" w:cs="仿宋"/>
                <w:color w:val="auto"/>
                <w:szCs w:val="21"/>
              </w:rPr>
            </w:pPr>
            <w:r>
              <w:rPr>
                <w:rFonts w:hint="eastAsia" w:ascii="仿宋" w:hAnsi="仿宋" w:eastAsia="仿宋" w:cs="仿宋"/>
                <w:color w:val="auto"/>
                <w:szCs w:val="21"/>
              </w:rPr>
              <w:t>1.定期检查电磁吊完好无损。</w:t>
            </w:r>
          </w:p>
        </w:tc>
        <w:tc>
          <w:tcPr>
            <w:tcW w:w="3310" w:type="dxa"/>
            <w:shd w:val="clear" w:color="auto" w:fill="auto"/>
            <w:vAlign w:val="center"/>
          </w:tcPr>
          <w:p>
            <w:pPr>
              <w:widowControl/>
              <w:jc w:val="left"/>
              <w:rPr>
                <w:rFonts w:hint="eastAsia" w:ascii="仿宋" w:hAnsi="仿宋" w:eastAsia="仿宋" w:cs="仿宋"/>
                <w:color w:val="auto"/>
                <w:szCs w:val="21"/>
              </w:rPr>
            </w:pPr>
            <w:r>
              <w:rPr>
                <w:rFonts w:hint="eastAsia" w:ascii="仿宋" w:hAnsi="仿宋" w:eastAsia="仿宋" w:cs="仿宋"/>
                <w:color w:val="auto"/>
                <w:szCs w:val="21"/>
              </w:rPr>
              <w:t>1.废钢吊运过程中，人员严禁站在废钢可能掉落的影响半径内。</w:t>
            </w:r>
          </w:p>
          <w:p>
            <w:pPr>
              <w:widowControl/>
              <w:jc w:val="left"/>
              <w:rPr>
                <w:rFonts w:hint="eastAsia" w:ascii="仿宋" w:hAnsi="仿宋" w:eastAsia="仿宋" w:cs="仿宋"/>
                <w:color w:val="auto"/>
                <w:szCs w:val="21"/>
              </w:rPr>
            </w:pPr>
            <w:r>
              <w:rPr>
                <w:rFonts w:hint="eastAsia" w:ascii="仿宋" w:hAnsi="仿宋" w:eastAsia="仿宋" w:cs="仿宋"/>
                <w:color w:val="auto"/>
                <w:szCs w:val="21"/>
              </w:rPr>
              <w:t>2.现场设置安全警示标示。</w:t>
            </w:r>
          </w:p>
          <w:p>
            <w:pPr>
              <w:widowControl/>
              <w:jc w:val="left"/>
              <w:rPr>
                <w:rFonts w:hint="eastAsia" w:ascii="仿宋" w:hAnsi="仿宋" w:eastAsia="仿宋" w:cs="仿宋"/>
                <w:color w:val="auto"/>
                <w:szCs w:val="21"/>
              </w:rPr>
            </w:pPr>
            <w:r>
              <w:rPr>
                <w:rFonts w:hint="eastAsia" w:ascii="仿宋" w:hAnsi="仿宋" w:eastAsia="仿宋" w:cs="仿宋"/>
                <w:color w:val="auto"/>
                <w:szCs w:val="21"/>
              </w:rPr>
              <w:t>3.人员佩戴安全帽。</w:t>
            </w:r>
          </w:p>
        </w:tc>
        <w:tc>
          <w:tcPr>
            <w:tcW w:w="3674" w:type="dxa"/>
            <w:shd w:val="clear" w:color="auto" w:fill="auto"/>
            <w:vAlign w:val="center"/>
          </w:tcPr>
          <w:p>
            <w:pPr>
              <w:widowControl/>
              <w:jc w:val="center"/>
              <w:rPr>
                <w:rFonts w:hint="eastAsia" w:ascii="仿宋" w:hAnsi="仿宋" w:eastAsia="仿宋" w:cs="仿宋"/>
                <w:color w:val="auto"/>
                <w:sz w:val="20"/>
                <w:szCs w:val="20"/>
              </w:rPr>
            </w:pPr>
            <w:r>
              <w:rPr>
                <w:rFonts w:hint="eastAsia" w:ascii="仿宋" w:hAnsi="仿宋" w:eastAsia="仿宋" w:cs="仿宋"/>
                <w:color w:val="auto"/>
              </w:rPr>
              <w:object>
                <v:shape id="_x0000_i1030" o:spt="75" type="#_x0000_t75" style="height:127.75pt;width:140.25pt;" o:ole="t" filled="f" o:preferrelative="t" stroked="f" coordsize="21600,21600">
                  <v:path/>
                  <v:fill on="f" focussize="0,0"/>
                  <v:stroke on="f" joinstyle="miter"/>
                  <v:imagedata r:id="rId21" o:title=""/>
                  <o:lock v:ext="edit" aspectratio="t"/>
                  <w10:wrap type="none"/>
                  <w10:anchorlock/>
                </v:shape>
                <o:OLEObject Type="Embed" ProgID="PBrush" ShapeID="_x0000_i1030" DrawAspect="Content" ObjectID="_1468075730" r:id="rId20">
                  <o:LockedField>false</o:LockedField>
                </o:OLEObject>
              </w:objec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557" w:type="dxa"/>
            <w:shd w:val="clear" w:color="auto" w:fill="auto"/>
            <w:vAlign w:val="center"/>
          </w:tcPr>
          <w:p>
            <w:pPr>
              <w:widowControl/>
              <w:jc w:val="left"/>
              <w:rPr>
                <w:rFonts w:hint="eastAsia" w:ascii="仿宋" w:hAnsi="仿宋" w:eastAsia="仿宋" w:cs="仿宋"/>
                <w:color w:val="auto"/>
                <w:szCs w:val="21"/>
              </w:rPr>
            </w:pPr>
            <w:r>
              <w:rPr>
                <w:rFonts w:hint="eastAsia" w:ascii="仿宋" w:hAnsi="仿宋" w:eastAsia="仿宋" w:cs="仿宋"/>
                <w:color w:val="auto"/>
                <w:szCs w:val="21"/>
              </w:rPr>
              <w:t>5</w:t>
            </w:r>
          </w:p>
        </w:tc>
        <w:tc>
          <w:tcPr>
            <w:tcW w:w="1022" w:type="dxa"/>
            <w:shd w:val="clear" w:color="auto" w:fill="auto"/>
            <w:vAlign w:val="center"/>
          </w:tcPr>
          <w:p>
            <w:pPr>
              <w:widowControl/>
              <w:jc w:val="left"/>
              <w:rPr>
                <w:rFonts w:hint="eastAsia" w:ascii="仿宋" w:hAnsi="仿宋" w:eastAsia="仿宋" w:cs="仿宋"/>
                <w:color w:val="auto"/>
                <w:szCs w:val="21"/>
              </w:rPr>
            </w:pPr>
            <w:r>
              <w:rPr>
                <w:rFonts w:hint="eastAsia" w:ascii="仿宋" w:hAnsi="仿宋" w:eastAsia="仿宋" w:cs="仿宋"/>
                <w:color w:val="auto"/>
                <w:szCs w:val="21"/>
              </w:rPr>
              <w:t>黑色金属冶炼</w:t>
            </w:r>
          </w:p>
        </w:tc>
        <w:tc>
          <w:tcPr>
            <w:tcW w:w="1725" w:type="dxa"/>
            <w:shd w:val="clear" w:color="auto" w:fill="auto"/>
            <w:vAlign w:val="center"/>
          </w:tcPr>
          <w:p>
            <w:pPr>
              <w:widowControl/>
              <w:jc w:val="left"/>
              <w:rPr>
                <w:rFonts w:hint="eastAsia" w:ascii="仿宋" w:hAnsi="仿宋" w:eastAsia="仿宋" w:cs="仿宋"/>
                <w:color w:val="auto"/>
                <w:szCs w:val="21"/>
              </w:rPr>
            </w:pPr>
            <w:r>
              <w:rPr>
                <w:rFonts w:hint="eastAsia" w:ascii="仿宋" w:hAnsi="仿宋" w:eastAsia="仿宋" w:cs="仿宋"/>
                <w:color w:val="auto"/>
                <w:szCs w:val="21"/>
              </w:rPr>
              <w:t>钢管</w:t>
            </w:r>
          </w:p>
        </w:tc>
        <w:tc>
          <w:tcPr>
            <w:tcW w:w="2014" w:type="dxa"/>
            <w:shd w:val="clear" w:color="auto" w:fill="auto"/>
            <w:vAlign w:val="center"/>
          </w:tcPr>
          <w:p>
            <w:pPr>
              <w:widowControl/>
              <w:jc w:val="left"/>
              <w:rPr>
                <w:rFonts w:hint="eastAsia" w:ascii="仿宋" w:hAnsi="仿宋" w:eastAsia="仿宋" w:cs="仿宋"/>
                <w:color w:val="auto"/>
                <w:szCs w:val="21"/>
              </w:rPr>
            </w:pPr>
            <w:r>
              <w:rPr>
                <w:rFonts w:hint="eastAsia" w:ascii="仿宋" w:hAnsi="仿宋" w:eastAsia="仿宋" w:cs="仿宋"/>
                <w:color w:val="auto"/>
                <w:szCs w:val="21"/>
              </w:rPr>
              <w:t>操作台人员对生产线存在视野盲区，产线发生故障人员进行处理时，易因操作台误操作造成人员伤害。</w:t>
            </w:r>
          </w:p>
        </w:tc>
        <w:tc>
          <w:tcPr>
            <w:tcW w:w="2592" w:type="dxa"/>
            <w:shd w:val="clear" w:color="auto" w:fill="auto"/>
            <w:vAlign w:val="center"/>
          </w:tcPr>
          <w:p>
            <w:pPr>
              <w:widowControl/>
              <w:jc w:val="left"/>
              <w:rPr>
                <w:rFonts w:hint="eastAsia" w:ascii="仿宋" w:hAnsi="仿宋" w:eastAsia="仿宋" w:cs="仿宋"/>
                <w:color w:val="auto"/>
                <w:szCs w:val="21"/>
              </w:rPr>
            </w:pPr>
            <w:r>
              <w:rPr>
                <w:rFonts w:hint="eastAsia" w:ascii="仿宋" w:hAnsi="仿宋" w:eastAsia="仿宋" w:cs="仿宋"/>
                <w:color w:val="auto"/>
                <w:szCs w:val="21"/>
              </w:rPr>
              <w:t>在操作台视线盲区设置安全紧急开关，控制辊道电机运转,切断安全开关后,辊道电机立即停止运行。</w:t>
            </w:r>
          </w:p>
        </w:tc>
        <w:tc>
          <w:tcPr>
            <w:tcW w:w="3310" w:type="dxa"/>
            <w:shd w:val="clear" w:color="auto" w:fill="auto"/>
            <w:vAlign w:val="center"/>
          </w:tcPr>
          <w:p>
            <w:pPr>
              <w:widowControl/>
              <w:jc w:val="left"/>
              <w:rPr>
                <w:rFonts w:hint="eastAsia" w:ascii="仿宋" w:hAnsi="仿宋" w:eastAsia="仿宋" w:cs="仿宋"/>
                <w:color w:val="auto"/>
                <w:szCs w:val="21"/>
              </w:rPr>
            </w:pPr>
            <w:r>
              <w:rPr>
                <w:rFonts w:hint="eastAsia" w:ascii="仿宋" w:hAnsi="仿宋" w:eastAsia="仿宋" w:cs="仿宋"/>
                <w:color w:val="auto"/>
                <w:szCs w:val="21"/>
              </w:rPr>
              <w:t>1.生产线运行时严禁处理故障。</w:t>
            </w:r>
          </w:p>
          <w:p>
            <w:pPr>
              <w:widowControl/>
              <w:jc w:val="left"/>
              <w:rPr>
                <w:rFonts w:hint="eastAsia" w:ascii="仿宋" w:hAnsi="仿宋" w:eastAsia="仿宋" w:cs="仿宋"/>
                <w:color w:val="auto"/>
                <w:szCs w:val="21"/>
              </w:rPr>
            </w:pPr>
            <w:r>
              <w:rPr>
                <w:rFonts w:hint="eastAsia" w:ascii="仿宋" w:hAnsi="仿宋" w:eastAsia="仿宋" w:cs="仿宋"/>
                <w:color w:val="auto"/>
                <w:szCs w:val="21"/>
              </w:rPr>
              <w:t>2.处理故障打开安全紧急开关方可作业。</w:t>
            </w:r>
          </w:p>
          <w:p>
            <w:pPr>
              <w:widowControl/>
              <w:jc w:val="left"/>
              <w:rPr>
                <w:rFonts w:hint="eastAsia" w:ascii="仿宋" w:hAnsi="仿宋" w:eastAsia="仿宋" w:cs="仿宋"/>
                <w:color w:val="auto"/>
                <w:szCs w:val="21"/>
              </w:rPr>
            </w:pPr>
            <w:r>
              <w:rPr>
                <w:rFonts w:hint="eastAsia" w:ascii="仿宋" w:hAnsi="仿宋" w:eastAsia="仿宋" w:cs="仿宋"/>
                <w:color w:val="auto"/>
                <w:szCs w:val="21"/>
              </w:rPr>
              <w:t>3.故障处理实行挂牌制度。</w:t>
            </w:r>
          </w:p>
        </w:tc>
        <w:tc>
          <w:tcPr>
            <w:tcW w:w="3674" w:type="dxa"/>
            <w:shd w:val="clear" w:color="auto" w:fill="auto"/>
            <w:vAlign w:val="center"/>
          </w:tcPr>
          <w:p>
            <w:pPr>
              <w:widowControl/>
              <w:jc w:val="center"/>
              <w:rPr>
                <w:rFonts w:hint="eastAsia" w:ascii="仿宋" w:hAnsi="仿宋" w:eastAsia="仿宋" w:cs="仿宋"/>
                <w:color w:val="auto"/>
                <w:sz w:val="20"/>
                <w:szCs w:val="20"/>
              </w:rPr>
            </w:pPr>
            <w:r>
              <w:rPr>
                <w:rFonts w:hint="eastAsia" w:ascii="仿宋" w:hAnsi="仿宋" w:eastAsia="仿宋" w:cs="仿宋"/>
                <w:color w:val="auto"/>
              </w:rPr>
              <w:object>
                <v:shape id="_x0000_i1031" o:spt="75" type="#_x0000_t75" style="height:137.75pt;width:135.25pt;" o:ole="t" filled="f" o:preferrelative="t" stroked="f" coordsize="21600,21600">
                  <v:path/>
                  <v:fill on="f" focussize="0,0"/>
                  <v:stroke on="f" joinstyle="miter"/>
                  <v:imagedata r:id="rId23" o:title=""/>
                  <o:lock v:ext="edit" aspectratio="t"/>
                  <w10:wrap type="none"/>
                  <w10:anchorlock/>
                </v:shape>
                <o:OLEObject Type="Embed" ProgID="PBrush" ShapeID="_x0000_i1031" DrawAspect="Content" ObjectID="_1468075731" r:id="rId22">
                  <o:LockedField>false</o:LockedField>
                </o:OLEObject>
              </w:objec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557" w:type="dxa"/>
            <w:shd w:val="clear" w:color="auto" w:fill="auto"/>
            <w:vAlign w:val="center"/>
          </w:tcPr>
          <w:p>
            <w:pPr>
              <w:widowControl/>
              <w:jc w:val="left"/>
              <w:rPr>
                <w:rFonts w:hint="eastAsia" w:ascii="仿宋" w:hAnsi="仿宋" w:eastAsia="仿宋" w:cs="仿宋"/>
                <w:color w:val="auto"/>
                <w:szCs w:val="21"/>
              </w:rPr>
            </w:pPr>
            <w:r>
              <w:rPr>
                <w:rFonts w:hint="eastAsia" w:ascii="仿宋" w:hAnsi="仿宋" w:eastAsia="仿宋" w:cs="仿宋"/>
                <w:color w:val="auto"/>
                <w:szCs w:val="21"/>
              </w:rPr>
              <w:t>6</w:t>
            </w:r>
          </w:p>
        </w:tc>
        <w:tc>
          <w:tcPr>
            <w:tcW w:w="1022" w:type="dxa"/>
            <w:shd w:val="clear" w:color="auto" w:fill="auto"/>
            <w:vAlign w:val="center"/>
          </w:tcPr>
          <w:p>
            <w:pPr>
              <w:widowControl/>
              <w:jc w:val="left"/>
              <w:rPr>
                <w:rFonts w:hint="eastAsia" w:ascii="仿宋" w:hAnsi="仿宋" w:eastAsia="仿宋" w:cs="仿宋"/>
                <w:color w:val="auto"/>
                <w:szCs w:val="21"/>
              </w:rPr>
            </w:pPr>
            <w:r>
              <w:rPr>
                <w:rFonts w:hint="eastAsia" w:ascii="仿宋" w:hAnsi="仿宋" w:eastAsia="仿宋" w:cs="仿宋"/>
                <w:color w:val="auto"/>
                <w:szCs w:val="21"/>
              </w:rPr>
              <w:t>黑色金属冶炼</w:t>
            </w:r>
          </w:p>
        </w:tc>
        <w:tc>
          <w:tcPr>
            <w:tcW w:w="1725" w:type="dxa"/>
            <w:shd w:val="clear" w:color="auto" w:fill="auto"/>
            <w:vAlign w:val="center"/>
          </w:tcPr>
          <w:p>
            <w:pPr>
              <w:widowControl/>
              <w:jc w:val="left"/>
              <w:rPr>
                <w:rFonts w:hint="eastAsia" w:ascii="仿宋" w:hAnsi="仿宋" w:eastAsia="仿宋" w:cs="仿宋"/>
                <w:color w:val="auto"/>
                <w:szCs w:val="21"/>
              </w:rPr>
            </w:pPr>
            <w:r>
              <w:rPr>
                <w:rFonts w:hint="eastAsia" w:ascii="仿宋" w:hAnsi="仿宋" w:eastAsia="仿宋" w:cs="仿宋"/>
                <w:color w:val="auto"/>
                <w:szCs w:val="21"/>
              </w:rPr>
              <w:t>湿法脱硫装置</w:t>
            </w:r>
          </w:p>
        </w:tc>
        <w:tc>
          <w:tcPr>
            <w:tcW w:w="2014" w:type="dxa"/>
            <w:shd w:val="clear" w:color="auto" w:fill="auto"/>
            <w:vAlign w:val="center"/>
          </w:tcPr>
          <w:p>
            <w:pPr>
              <w:widowControl/>
              <w:jc w:val="left"/>
              <w:rPr>
                <w:rFonts w:hint="eastAsia" w:ascii="仿宋" w:hAnsi="仿宋" w:eastAsia="仿宋" w:cs="仿宋"/>
                <w:color w:val="auto"/>
                <w:szCs w:val="21"/>
              </w:rPr>
            </w:pPr>
            <w:r>
              <w:rPr>
                <w:rFonts w:hint="eastAsia" w:ascii="仿宋" w:hAnsi="仿宋" w:eastAsia="仿宋" w:cs="仿宋"/>
                <w:color w:val="auto"/>
                <w:szCs w:val="21"/>
              </w:rPr>
              <w:t>设备灰斗底部堵塞时，人员进入灰斗清堵时容易发生脱硫灰掉落伤人。</w:t>
            </w:r>
          </w:p>
        </w:tc>
        <w:tc>
          <w:tcPr>
            <w:tcW w:w="2592" w:type="dxa"/>
            <w:shd w:val="clear" w:color="auto" w:fill="auto"/>
            <w:vAlign w:val="center"/>
          </w:tcPr>
          <w:p>
            <w:pPr>
              <w:widowControl/>
              <w:jc w:val="left"/>
              <w:rPr>
                <w:rFonts w:hint="eastAsia" w:ascii="仿宋" w:hAnsi="仿宋" w:eastAsia="仿宋" w:cs="仿宋"/>
                <w:color w:val="auto"/>
                <w:szCs w:val="21"/>
              </w:rPr>
            </w:pPr>
            <w:r>
              <w:rPr>
                <w:rFonts w:hint="eastAsia" w:ascii="仿宋" w:hAnsi="仿宋" w:eastAsia="仿宋" w:cs="仿宋"/>
                <w:color w:val="auto"/>
                <w:szCs w:val="21"/>
              </w:rPr>
              <w:t>1.设备停机后方可进行清堵作业。</w:t>
            </w:r>
          </w:p>
          <w:p>
            <w:pPr>
              <w:widowControl/>
              <w:jc w:val="left"/>
              <w:rPr>
                <w:rFonts w:hint="eastAsia" w:ascii="仿宋" w:hAnsi="仿宋" w:eastAsia="仿宋" w:cs="仿宋"/>
                <w:color w:val="auto"/>
                <w:szCs w:val="21"/>
              </w:rPr>
            </w:pPr>
            <w:r>
              <w:rPr>
                <w:rFonts w:hint="eastAsia" w:ascii="仿宋" w:hAnsi="仿宋" w:eastAsia="仿宋" w:cs="仿宋"/>
                <w:color w:val="auto"/>
                <w:szCs w:val="21"/>
              </w:rPr>
              <w:t>2.采用高压水冲洗等方式进行清堵，严禁人员进入灰斗。</w:t>
            </w:r>
          </w:p>
        </w:tc>
        <w:tc>
          <w:tcPr>
            <w:tcW w:w="3310" w:type="dxa"/>
            <w:shd w:val="clear" w:color="auto" w:fill="auto"/>
            <w:vAlign w:val="center"/>
          </w:tcPr>
          <w:p>
            <w:pPr>
              <w:widowControl/>
              <w:jc w:val="left"/>
              <w:rPr>
                <w:rFonts w:hint="eastAsia" w:ascii="仿宋" w:hAnsi="仿宋" w:eastAsia="仿宋" w:cs="仿宋"/>
                <w:color w:val="auto"/>
                <w:szCs w:val="21"/>
              </w:rPr>
            </w:pPr>
            <w:r>
              <w:rPr>
                <w:rFonts w:hint="eastAsia" w:ascii="仿宋" w:hAnsi="仿宋" w:eastAsia="仿宋" w:cs="仿宋"/>
                <w:color w:val="auto"/>
                <w:szCs w:val="21"/>
              </w:rPr>
              <w:t>一般管理措施。</w:t>
            </w:r>
          </w:p>
        </w:tc>
        <w:tc>
          <w:tcPr>
            <w:tcW w:w="3674" w:type="dxa"/>
            <w:shd w:val="clear" w:color="auto" w:fill="auto"/>
            <w:vAlign w:val="center"/>
          </w:tcPr>
          <w:p>
            <w:pPr>
              <w:widowControl/>
              <w:jc w:val="center"/>
              <w:rPr>
                <w:rFonts w:hint="eastAsia" w:ascii="仿宋" w:hAnsi="仿宋" w:eastAsia="仿宋" w:cs="仿宋"/>
                <w:color w:val="auto"/>
                <w:sz w:val="20"/>
                <w:szCs w:val="20"/>
              </w:rPr>
            </w:pPr>
            <w:r>
              <w:rPr>
                <w:rFonts w:hint="eastAsia" w:ascii="仿宋" w:hAnsi="仿宋" w:eastAsia="仿宋" w:cs="仿宋"/>
                <w:color w:val="auto"/>
              </w:rPr>
              <w:object>
                <v:shape id="_x0000_i1032" o:spt="75" type="#_x0000_t75" style="height:143.6pt;width:141.1pt;" o:ole="t" filled="f" o:preferrelative="t" stroked="f" coordsize="21600,21600">
                  <v:path/>
                  <v:fill on="f" focussize="0,0"/>
                  <v:stroke on="f" joinstyle="miter"/>
                  <v:imagedata r:id="rId25" o:title=""/>
                  <o:lock v:ext="edit" aspectratio="t"/>
                  <w10:wrap type="none"/>
                  <w10:anchorlock/>
                </v:shape>
                <o:OLEObject Type="Embed" ProgID="PBrush" ShapeID="_x0000_i1032" DrawAspect="Content" ObjectID="_1468075732" r:id="rId24">
                  <o:LockedField>false</o:LockedField>
                </o:OLEObject>
              </w:objec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557" w:type="dxa"/>
            <w:shd w:val="clear" w:color="auto" w:fill="auto"/>
            <w:vAlign w:val="center"/>
          </w:tcPr>
          <w:p>
            <w:pPr>
              <w:widowControl/>
              <w:jc w:val="left"/>
              <w:rPr>
                <w:rFonts w:hint="eastAsia" w:ascii="仿宋" w:hAnsi="仿宋" w:eastAsia="仿宋" w:cs="仿宋"/>
                <w:color w:val="auto"/>
                <w:szCs w:val="21"/>
              </w:rPr>
            </w:pPr>
            <w:r>
              <w:rPr>
                <w:rFonts w:hint="eastAsia" w:ascii="仿宋" w:hAnsi="仿宋" w:eastAsia="仿宋" w:cs="仿宋"/>
                <w:color w:val="auto"/>
                <w:szCs w:val="21"/>
              </w:rPr>
              <w:t>7</w:t>
            </w:r>
          </w:p>
        </w:tc>
        <w:tc>
          <w:tcPr>
            <w:tcW w:w="1022" w:type="dxa"/>
            <w:shd w:val="clear" w:color="auto" w:fill="auto"/>
            <w:vAlign w:val="center"/>
          </w:tcPr>
          <w:p>
            <w:pPr>
              <w:widowControl/>
              <w:jc w:val="left"/>
              <w:rPr>
                <w:rFonts w:hint="eastAsia" w:ascii="仿宋" w:hAnsi="仿宋" w:eastAsia="仿宋" w:cs="仿宋"/>
                <w:color w:val="auto"/>
                <w:szCs w:val="21"/>
              </w:rPr>
            </w:pPr>
            <w:r>
              <w:rPr>
                <w:rFonts w:hint="eastAsia" w:ascii="仿宋" w:hAnsi="仿宋" w:eastAsia="仿宋" w:cs="仿宋"/>
                <w:color w:val="auto"/>
                <w:szCs w:val="21"/>
              </w:rPr>
              <w:t>黑色金属冶炼</w:t>
            </w:r>
          </w:p>
        </w:tc>
        <w:tc>
          <w:tcPr>
            <w:tcW w:w="1725" w:type="dxa"/>
            <w:shd w:val="clear" w:color="auto" w:fill="auto"/>
            <w:vAlign w:val="center"/>
          </w:tcPr>
          <w:p>
            <w:pPr>
              <w:widowControl/>
              <w:jc w:val="left"/>
              <w:rPr>
                <w:rFonts w:hint="eastAsia" w:ascii="仿宋" w:hAnsi="仿宋" w:eastAsia="仿宋" w:cs="仿宋"/>
                <w:color w:val="auto"/>
                <w:szCs w:val="21"/>
              </w:rPr>
            </w:pPr>
            <w:r>
              <w:rPr>
                <w:rFonts w:hint="eastAsia" w:ascii="仿宋" w:hAnsi="仿宋" w:eastAsia="仿宋" w:cs="仿宋"/>
                <w:color w:val="auto"/>
                <w:szCs w:val="21"/>
              </w:rPr>
              <w:t>液压拉马</w:t>
            </w:r>
          </w:p>
        </w:tc>
        <w:tc>
          <w:tcPr>
            <w:tcW w:w="2014" w:type="dxa"/>
            <w:shd w:val="clear" w:color="auto" w:fill="auto"/>
            <w:vAlign w:val="center"/>
          </w:tcPr>
          <w:p>
            <w:pPr>
              <w:widowControl/>
              <w:jc w:val="left"/>
              <w:rPr>
                <w:rFonts w:hint="eastAsia" w:ascii="仿宋" w:hAnsi="仿宋" w:eastAsia="仿宋" w:cs="仿宋"/>
                <w:color w:val="auto"/>
                <w:szCs w:val="21"/>
              </w:rPr>
            </w:pPr>
            <w:r>
              <w:rPr>
                <w:rFonts w:hint="eastAsia" w:ascii="仿宋" w:hAnsi="仿宋" w:eastAsia="仿宋" w:cs="仿宋"/>
                <w:color w:val="auto"/>
                <w:szCs w:val="21"/>
              </w:rPr>
              <w:t>液压拉马使用过程中，钩爪、加长顶杆滑脱时容易造成人员打击伤。</w:t>
            </w:r>
          </w:p>
        </w:tc>
        <w:tc>
          <w:tcPr>
            <w:tcW w:w="2592" w:type="dxa"/>
            <w:shd w:val="clear" w:color="auto" w:fill="auto"/>
            <w:vAlign w:val="center"/>
          </w:tcPr>
          <w:p>
            <w:pPr>
              <w:widowControl/>
              <w:jc w:val="left"/>
              <w:rPr>
                <w:rFonts w:hint="eastAsia" w:ascii="仿宋" w:hAnsi="仿宋" w:eastAsia="仿宋" w:cs="仿宋"/>
                <w:color w:val="auto"/>
                <w:szCs w:val="21"/>
              </w:rPr>
            </w:pPr>
            <w:r>
              <w:rPr>
                <w:rFonts w:hint="eastAsia" w:ascii="仿宋" w:hAnsi="仿宋" w:eastAsia="仿宋" w:cs="仿宋"/>
                <w:color w:val="auto"/>
                <w:szCs w:val="21"/>
              </w:rPr>
              <w:t>1.把各钩爪座调整到爪钩垂直抓住所拉物体，将钩爪钩于所拉物体牢固位置</w:t>
            </w:r>
            <w:r>
              <w:rPr>
                <w:rFonts w:hint="eastAsia" w:ascii="仿宋" w:hAnsi="仿宋" w:eastAsia="仿宋" w:cs="仿宋"/>
                <w:color w:val="auto"/>
                <w:szCs w:val="21"/>
              </w:rPr>
              <w:t>，</w:t>
            </w:r>
            <w:r>
              <w:rPr>
                <w:rFonts w:hint="eastAsia" w:ascii="仿宋" w:hAnsi="仿宋" w:eastAsia="仿宋" w:cs="仿宋"/>
                <w:color w:val="auto"/>
                <w:szCs w:val="21"/>
              </w:rPr>
              <w:t>防止钩爪滑脱。</w:t>
            </w:r>
          </w:p>
          <w:p>
            <w:pPr>
              <w:widowControl/>
              <w:jc w:val="left"/>
              <w:rPr>
                <w:rFonts w:hint="eastAsia" w:ascii="仿宋" w:hAnsi="仿宋" w:eastAsia="仿宋" w:cs="仿宋"/>
                <w:color w:val="auto"/>
                <w:szCs w:val="21"/>
              </w:rPr>
            </w:pPr>
            <w:r>
              <w:rPr>
                <w:rFonts w:hint="eastAsia" w:ascii="仿宋" w:hAnsi="仿宋" w:eastAsia="仿宋" w:cs="仿宋"/>
                <w:color w:val="auto"/>
                <w:szCs w:val="21"/>
              </w:rPr>
              <w:t>2.使用加长顶杆时不得超过2节。</w:t>
            </w:r>
          </w:p>
          <w:p>
            <w:pPr>
              <w:widowControl/>
              <w:jc w:val="left"/>
              <w:rPr>
                <w:rFonts w:hint="eastAsia" w:ascii="仿宋" w:hAnsi="仿宋" w:eastAsia="仿宋" w:cs="仿宋"/>
                <w:color w:val="auto"/>
                <w:szCs w:val="21"/>
              </w:rPr>
            </w:pPr>
            <w:r>
              <w:rPr>
                <w:rFonts w:hint="eastAsia" w:ascii="仿宋" w:hAnsi="仿宋" w:eastAsia="仿宋" w:cs="仿宋"/>
                <w:color w:val="auto"/>
                <w:szCs w:val="21"/>
              </w:rPr>
              <w:t>3.顶杆位于各钩爪中心与主轴水平，顶杆与主轴接触面平整稳定。</w:t>
            </w:r>
          </w:p>
        </w:tc>
        <w:tc>
          <w:tcPr>
            <w:tcW w:w="3310" w:type="dxa"/>
            <w:shd w:val="clear" w:color="auto" w:fill="auto"/>
            <w:vAlign w:val="center"/>
          </w:tcPr>
          <w:p>
            <w:pPr>
              <w:widowControl/>
              <w:jc w:val="left"/>
              <w:rPr>
                <w:rFonts w:hint="eastAsia" w:ascii="仿宋" w:hAnsi="仿宋" w:eastAsia="仿宋" w:cs="仿宋"/>
                <w:color w:val="auto"/>
                <w:szCs w:val="21"/>
              </w:rPr>
            </w:pPr>
            <w:r>
              <w:rPr>
                <w:rFonts w:hint="eastAsia" w:ascii="仿宋" w:hAnsi="仿宋" w:eastAsia="仿宋" w:cs="仿宋"/>
                <w:color w:val="auto"/>
                <w:szCs w:val="21"/>
              </w:rPr>
              <w:t>1.使用辅助顶杆，辅助顶杆上加装手柄。</w:t>
            </w:r>
          </w:p>
          <w:p>
            <w:pPr>
              <w:widowControl/>
              <w:jc w:val="left"/>
              <w:rPr>
                <w:rFonts w:hint="eastAsia" w:ascii="仿宋" w:hAnsi="仿宋" w:eastAsia="仿宋" w:cs="仿宋"/>
                <w:color w:val="auto"/>
                <w:szCs w:val="21"/>
              </w:rPr>
            </w:pPr>
            <w:r>
              <w:rPr>
                <w:rFonts w:hint="eastAsia" w:ascii="仿宋" w:hAnsi="仿宋" w:eastAsia="仿宋" w:cs="仿宋"/>
                <w:color w:val="auto"/>
                <w:szCs w:val="21"/>
              </w:rPr>
              <w:t>2.钩爪与备件接触面不得有油污。</w:t>
            </w:r>
          </w:p>
        </w:tc>
        <w:tc>
          <w:tcPr>
            <w:tcW w:w="3674" w:type="dxa"/>
            <w:shd w:val="clear" w:color="auto" w:fill="auto"/>
            <w:vAlign w:val="center"/>
          </w:tcPr>
          <w:p>
            <w:pPr>
              <w:widowControl/>
              <w:jc w:val="center"/>
              <w:rPr>
                <w:rFonts w:hint="eastAsia" w:ascii="仿宋" w:hAnsi="仿宋" w:eastAsia="仿宋" w:cs="仿宋"/>
                <w:color w:val="auto"/>
                <w:sz w:val="20"/>
                <w:szCs w:val="20"/>
              </w:rPr>
            </w:pPr>
            <w:r>
              <w:rPr>
                <w:rFonts w:hint="eastAsia" w:ascii="仿宋" w:hAnsi="仿宋" w:eastAsia="仿宋" w:cs="仿宋"/>
                <w:color w:val="auto"/>
              </w:rPr>
              <w:object>
                <v:shape id="_x0000_i1033" o:spt="75" type="#_x0000_t75" style="height:144pt;width:142.35pt;" o:ole="t" filled="f" o:preferrelative="t" stroked="f" coordsize="21600,21600">
                  <v:path/>
                  <v:fill on="f" focussize="0,0"/>
                  <v:stroke on="f" joinstyle="miter"/>
                  <v:imagedata r:id="rId27" o:title=""/>
                  <o:lock v:ext="edit" aspectratio="t"/>
                  <w10:wrap type="none"/>
                  <w10:anchorlock/>
                </v:shape>
                <o:OLEObject Type="Embed" ProgID="PBrush" ShapeID="_x0000_i1033" DrawAspect="Content" ObjectID="_1468075733" r:id="rId26">
                  <o:LockedField>false</o:LockedField>
                </o:OLEObject>
              </w:object>
            </w:r>
          </w:p>
        </w:tc>
      </w:tr>
    </w:tbl>
    <w:p>
      <w:pPr>
        <w:rPr>
          <w:rFonts w:ascii="宋体" w:hAnsi="宋体" w:eastAsia="宋体"/>
          <w:color w:val="auto"/>
          <w:sz w:val="28"/>
          <w:szCs w:val="32"/>
        </w:rPr>
      </w:pPr>
    </w:p>
    <w:p>
      <w:pPr>
        <w:rPr>
          <w:rFonts w:ascii="宋体" w:hAnsi="宋体" w:eastAsia="宋体"/>
          <w:color w:val="auto"/>
          <w:sz w:val="28"/>
          <w:szCs w:val="32"/>
        </w:rPr>
      </w:pPr>
    </w:p>
    <w:p>
      <w:pPr>
        <w:rPr>
          <w:rFonts w:hint="eastAsia" w:ascii="宋体" w:hAnsi="宋体" w:eastAsia="宋体"/>
          <w:color w:val="auto"/>
          <w:sz w:val="28"/>
          <w:szCs w:val="32"/>
        </w:rPr>
      </w:pPr>
    </w:p>
    <w:p>
      <w:pPr>
        <w:rPr>
          <w:rFonts w:ascii="宋体" w:hAnsi="宋体" w:eastAsia="宋体"/>
          <w:color w:val="auto"/>
          <w:sz w:val="28"/>
          <w:szCs w:val="32"/>
        </w:rPr>
      </w:pPr>
      <w:r>
        <w:rPr>
          <w:rFonts w:ascii="宋体" w:hAnsi="宋体" w:eastAsia="宋体"/>
          <w:color w:val="auto"/>
          <w:sz w:val="28"/>
          <w:szCs w:val="32"/>
        </w:rPr>
        <w:br w:type="page"/>
      </w:r>
    </w:p>
    <w:p>
      <w:pPr>
        <w:rPr>
          <w:rFonts w:hint="eastAsia" w:ascii="楷体_GB2312" w:hAnsi="楷体_GB2312" w:eastAsia="楷体_GB2312" w:cs="楷体_GB2312"/>
          <w:color w:val="auto"/>
          <w:sz w:val="28"/>
          <w:szCs w:val="32"/>
        </w:rPr>
      </w:pPr>
      <w:r>
        <w:rPr>
          <w:rFonts w:hint="eastAsia" w:ascii="楷体_GB2312" w:hAnsi="楷体_GB2312" w:eastAsia="楷体_GB2312" w:cs="楷体_GB2312"/>
          <w:color w:val="auto"/>
          <w:sz w:val="28"/>
          <w:szCs w:val="32"/>
        </w:rPr>
        <w:t>3.有色行业典型物体打击事故管控措施</w:t>
      </w:r>
    </w:p>
    <w:tbl>
      <w:tblPr>
        <w:tblStyle w:val="4"/>
        <w:tblW w:w="1489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56"/>
        <w:gridCol w:w="1022"/>
        <w:gridCol w:w="1871"/>
        <w:gridCol w:w="1871"/>
        <w:gridCol w:w="2592"/>
        <w:gridCol w:w="3309"/>
        <w:gridCol w:w="367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556" w:type="dxa"/>
            <w:shd w:val="clear" w:color="auto" w:fill="auto"/>
            <w:vAlign w:val="center"/>
          </w:tcPr>
          <w:p>
            <w:pPr>
              <w:widowControl/>
              <w:jc w:val="center"/>
              <w:rPr>
                <w:rFonts w:hint="eastAsia" w:ascii="黑体" w:hAnsi="黑体" w:eastAsia="黑体" w:cs="黑体"/>
                <w:color w:val="auto"/>
                <w:sz w:val="21"/>
                <w:szCs w:val="21"/>
              </w:rPr>
            </w:pPr>
            <w:r>
              <w:rPr>
                <w:rFonts w:hint="eastAsia" w:ascii="黑体" w:hAnsi="黑体" w:eastAsia="黑体" w:cs="黑体"/>
                <w:color w:val="auto"/>
                <w:sz w:val="21"/>
                <w:szCs w:val="21"/>
              </w:rPr>
              <w:t>序号</w:t>
            </w:r>
          </w:p>
        </w:tc>
        <w:tc>
          <w:tcPr>
            <w:tcW w:w="1022" w:type="dxa"/>
            <w:shd w:val="clear" w:color="auto" w:fill="auto"/>
            <w:vAlign w:val="center"/>
          </w:tcPr>
          <w:p>
            <w:pPr>
              <w:widowControl/>
              <w:jc w:val="center"/>
              <w:rPr>
                <w:rFonts w:hint="eastAsia" w:ascii="黑体" w:hAnsi="黑体" w:eastAsia="黑体" w:cs="黑体"/>
                <w:color w:val="auto"/>
                <w:sz w:val="21"/>
                <w:szCs w:val="21"/>
              </w:rPr>
            </w:pPr>
            <w:r>
              <w:rPr>
                <w:rFonts w:hint="eastAsia" w:ascii="黑体" w:hAnsi="黑体" w:eastAsia="黑体" w:cs="黑体"/>
                <w:color w:val="auto"/>
                <w:sz w:val="21"/>
                <w:szCs w:val="21"/>
              </w:rPr>
              <w:t>中类行业名称</w:t>
            </w:r>
          </w:p>
        </w:tc>
        <w:tc>
          <w:tcPr>
            <w:tcW w:w="1871" w:type="dxa"/>
            <w:shd w:val="clear" w:color="auto" w:fill="auto"/>
            <w:vAlign w:val="center"/>
          </w:tcPr>
          <w:p>
            <w:pPr>
              <w:widowControl/>
              <w:jc w:val="center"/>
              <w:rPr>
                <w:rFonts w:hint="eastAsia" w:ascii="黑体" w:hAnsi="黑体" w:eastAsia="黑体" w:cs="黑体"/>
                <w:color w:val="auto"/>
                <w:sz w:val="21"/>
                <w:szCs w:val="21"/>
              </w:rPr>
            </w:pPr>
            <w:r>
              <w:rPr>
                <w:rFonts w:hint="eastAsia" w:ascii="黑体" w:hAnsi="黑体" w:eastAsia="黑体" w:cs="黑体"/>
                <w:color w:val="auto"/>
                <w:sz w:val="21"/>
                <w:szCs w:val="21"/>
              </w:rPr>
              <w:t>典型设备设施或作业活动举例</w:t>
            </w:r>
          </w:p>
        </w:tc>
        <w:tc>
          <w:tcPr>
            <w:tcW w:w="1871" w:type="dxa"/>
            <w:shd w:val="clear" w:color="auto" w:fill="auto"/>
            <w:vAlign w:val="center"/>
          </w:tcPr>
          <w:p>
            <w:pPr>
              <w:widowControl/>
              <w:jc w:val="center"/>
              <w:rPr>
                <w:rFonts w:hint="eastAsia" w:ascii="黑体" w:hAnsi="黑体" w:eastAsia="黑体" w:cs="黑体"/>
                <w:color w:val="auto"/>
                <w:sz w:val="21"/>
                <w:szCs w:val="21"/>
              </w:rPr>
            </w:pPr>
            <w:r>
              <w:rPr>
                <w:rFonts w:hint="eastAsia" w:ascii="黑体" w:hAnsi="黑体" w:eastAsia="黑体" w:cs="黑体"/>
                <w:color w:val="auto"/>
                <w:sz w:val="21"/>
                <w:szCs w:val="21"/>
              </w:rPr>
              <w:t>事故原因</w:t>
            </w:r>
          </w:p>
        </w:tc>
        <w:tc>
          <w:tcPr>
            <w:tcW w:w="2592" w:type="dxa"/>
            <w:shd w:val="clear" w:color="auto" w:fill="auto"/>
            <w:vAlign w:val="center"/>
          </w:tcPr>
          <w:p>
            <w:pPr>
              <w:widowControl/>
              <w:jc w:val="center"/>
              <w:rPr>
                <w:rFonts w:hint="eastAsia" w:ascii="黑体" w:hAnsi="黑体" w:eastAsia="黑体" w:cs="黑体"/>
                <w:color w:val="auto"/>
                <w:sz w:val="21"/>
                <w:szCs w:val="21"/>
              </w:rPr>
            </w:pPr>
            <w:r>
              <w:rPr>
                <w:rFonts w:hint="eastAsia" w:ascii="黑体" w:hAnsi="黑体" w:eastAsia="黑体" w:cs="黑体"/>
                <w:color w:val="auto"/>
                <w:sz w:val="21"/>
                <w:szCs w:val="21"/>
              </w:rPr>
              <w:t>典型工程技术措施</w:t>
            </w:r>
          </w:p>
        </w:tc>
        <w:tc>
          <w:tcPr>
            <w:tcW w:w="3309" w:type="dxa"/>
            <w:shd w:val="clear" w:color="auto" w:fill="auto"/>
            <w:vAlign w:val="center"/>
          </w:tcPr>
          <w:p>
            <w:pPr>
              <w:widowControl/>
              <w:jc w:val="center"/>
              <w:rPr>
                <w:rFonts w:hint="eastAsia" w:ascii="黑体" w:hAnsi="黑体" w:eastAsia="黑体" w:cs="黑体"/>
                <w:color w:val="auto"/>
                <w:sz w:val="21"/>
                <w:szCs w:val="21"/>
              </w:rPr>
            </w:pPr>
            <w:r>
              <w:rPr>
                <w:rFonts w:hint="eastAsia" w:ascii="黑体" w:hAnsi="黑体" w:eastAsia="黑体" w:cs="黑体"/>
                <w:color w:val="auto"/>
                <w:sz w:val="21"/>
                <w:szCs w:val="21"/>
              </w:rPr>
              <w:t>典型的管理措施</w:t>
            </w:r>
          </w:p>
        </w:tc>
        <w:tc>
          <w:tcPr>
            <w:tcW w:w="3673" w:type="dxa"/>
            <w:shd w:val="clear" w:color="auto" w:fill="auto"/>
            <w:vAlign w:val="center"/>
          </w:tcPr>
          <w:p>
            <w:pPr>
              <w:widowControl/>
              <w:jc w:val="center"/>
              <w:rPr>
                <w:rFonts w:hint="eastAsia" w:ascii="黑体" w:hAnsi="黑体" w:eastAsia="黑体" w:cs="黑体"/>
                <w:color w:val="auto"/>
                <w:sz w:val="21"/>
                <w:szCs w:val="21"/>
              </w:rPr>
            </w:pPr>
            <w:r>
              <w:rPr>
                <w:rFonts w:hint="eastAsia" w:ascii="黑体" w:hAnsi="黑体" w:eastAsia="黑体" w:cs="黑体"/>
                <w:color w:val="auto"/>
                <w:sz w:val="21"/>
                <w:szCs w:val="21"/>
              </w:rPr>
              <w:t>好的做法示例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556" w:type="dxa"/>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1</w:t>
            </w:r>
          </w:p>
        </w:tc>
        <w:tc>
          <w:tcPr>
            <w:tcW w:w="1022" w:type="dxa"/>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kern w:val="0"/>
                <w:sz w:val="21"/>
                <w:szCs w:val="21"/>
              </w:rPr>
              <w:t>铜冶炼</w:t>
            </w:r>
          </w:p>
        </w:tc>
        <w:tc>
          <w:tcPr>
            <w:tcW w:w="1871" w:type="dxa"/>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起重机械</w:t>
            </w:r>
          </w:p>
        </w:tc>
        <w:tc>
          <w:tcPr>
            <w:tcW w:w="1871" w:type="dxa"/>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1.行车行走限位未安装或失效，造成大车、小车脱轨或钢丝绳拉断等。</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2.未严格执行“十不吊”安全管理要求。</w:t>
            </w:r>
          </w:p>
        </w:tc>
        <w:tc>
          <w:tcPr>
            <w:tcW w:w="2592" w:type="dxa"/>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1.在行车道轨两端设置限位装置（限位开关及机械支挡器），同一道轨上运行两台或两台以上行车时，还应设置防撞装置（防撞尺及限位开关）。</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2.在行车小车导轨两端设置限位装置（限位开关和机械支挡器）。</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3.卷扬机设置上行限位装置，设置限重联锁。</w:t>
            </w:r>
          </w:p>
        </w:tc>
        <w:tc>
          <w:tcPr>
            <w:tcW w:w="3309" w:type="dxa"/>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严格执行“十不吊”安全管理要求。</w:t>
            </w:r>
          </w:p>
        </w:tc>
        <w:tc>
          <w:tcPr>
            <w:tcW w:w="3673" w:type="dxa"/>
            <w:shd w:val="clear" w:color="auto" w:fill="auto"/>
            <w:vAlign w:val="center"/>
          </w:tcPr>
          <w:p>
            <w:pPr>
              <w:widowControl/>
              <w:jc w:val="center"/>
              <w:rPr>
                <w:rFonts w:hint="eastAsia" w:ascii="仿宋" w:hAnsi="仿宋" w:eastAsia="仿宋" w:cs="仿宋"/>
                <w:color w:val="auto"/>
                <w:sz w:val="21"/>
                <w:szCs w:val="21"/>
              </w:rPr>
            </w:pPr>
            <w:r>
              <w:rPr>
                <w:rFonts w:hint="eastAsia" w:ascii="仿宋" w:hAnsi="仿宋" w:eastAsia="仿宋" w:cs="仿宋"/>
                <w:color w:val="auto"/>
                <w:sz w:val="21"/>
                <w:szCs w:val="21"/>
              </w:rPr>
              <w:drawing>
                <wp:inline distT="0" distB="0" distL="0" distR="0">
                  <wp:extent cx="2105660" cy="1562100"/>
                  <wp:effectExtent l="0" t="0" r="889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pic:cNvPicPr>
                        </pic:nvPicPr>
                        <pic:blipFill>
                          <a:blip r:embed="rId28"/>
                          <a:stretch>
                            <a:fillRect/>
                          </a:stretch>
                        </pic:blipFill>
                        <pic:spPr>
                          <a:xfrm>
                            <a:off x="0" y="0"/>
                            <a:ext cx="2117442" cy="1570619"/>
                          </a:xfrm>
                          <a:prstGeom prst="rect">
                            <a:avLst/>
                          </a:prstGeom>
                        </pic:spPr>
                      </pic:pic>
                    </a:graphicData>
                  </a:graphic>
                </wp:inline>
              </w:drawing>
            </w:r>
          </w:p>
          <w:p>
            <w:pPr>
              <w:widowControl/>
              <w:jc w:val="left"/>
              <w:rPr>
                <w:rFonts w:hint="eastAsia" w:ascii="仿宋" w:hAnsi="仿宋" w:eastAsia="仿宋" w:cs="仿宋"/>
                <w:color w:val="auto"/>
                <w:kern w:val="2"/>
                <w:sz w:val="21"/>
                <w:szCs w:val="21"/>
                <w:lang w:val="en-US" w:eastAsia="zh-CN" w:bidi="ar-SA"/>
              </w:rPr>
            </w:pPr>
            <w:r>
              <w:rPr>
                <w:rFonts w:hint="eastAsia" w:ascii="仿宋" w:hAnsi="仿宋" w:eastAsia="仿宋" w:cs="仿宋"/>
                <w:color w:val="auto"/>
                <w:sz w:val="21"/>
                <w:szCs w:val="21"/>
              </w:rPr>
              <w:t>当行车大车、小车运行到端部时，触发限位开关动作，切断运行电源，防止大车或小车冲出；护栏门打开时限位开关动作，切断运行电源，防止在人员上下或者检维修时发生事故。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556" w:type="dxa"/>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2</w:t>
            </w:r>
          </w:p>
        </w:tc>
        <w:tc>
          <w:tcPr>
            <w:tcW w:w="1022" w:type="dxa"/>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kern w:val="0"/>
                <w:sz w:val="21"/>
                <w:szCs w:val="21"/>
              </w:rPr>
              <w:t>铜冶炼</w:t>
            </w:r>
          </w:p>
        </w:tc>
        <w:tc>
          <w:tcPr>
            <w:tcW w:w="1871" w:type="dxa"/>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圆盘浇铸机、冰铜磨液压系统</w:t>
            </w:r>
          </w:p>
        </w:tc>
        <w:tc>
          <w:tcPr>
            <w:tcW w:w="1871" w:type="dxa"/>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1.液压管路断裂后高压液压油冲出。</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2.检修时未确认泄压情况。</w:t>
            </w:r>
          </w:p>
        </w:tc>
        <w:tc>
          <w:tcPr>
            <w:tcW w:w="2592" w:type="dxa"/>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1.液压站、阀台、蓄势器和液压管路，应有泄压阀。</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2.液压站设置压力表。</w:t>
            </w:r>
          </w:p>
        </w:tc>
        <w:tc>
          <w:tcPr>
            <w:tcW w:w="3309" w:type="dxa"/>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1.定期巡检，发现液压管路出现泄漏、裂纹等情况立即停机处理。</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2.确认有效泄压后进行维修。</w:t>
            </w:r>
          </w:p>
        </w:tc>
        <w:tc>
          <w:tcPr>
            <w:tcW w:w="3673" w:type="dxa"/>
            <w:shd w:val="clear" w:color="auto" w:fill="auto"/>
            <w:vAlign w:val="center"/>
          </w:tcPr>
          <w:p>
            <w:pPr>
              <w:widowControl/>
              <w:jc w:val="center"/>
              <w:rPr>
                <w:rFonts w:hint="eastAsia" w:ascii="仿宋" w:hAnsi="仿宋" w:eastAsia="仿宋" w:cs="仿宋"/>
                <w:color w:val="auto"/>
                <w:sz w:val="21"/>
                <w:szCs w:val="21"/>
              </w:rPr>
            </w:pPr>
            <w:r>
              <w:rPr>
                <w:rFonts w:hint="eastAsia" w:ascii="仿宋" w:hAnsi="仿宋" w:eastAsia="仿宋" w:cs="仿宋"/>
                <w:color w:val="auto"/>
                <w:sz w:val="21"/>
                <w:szCs w:val="21"/>
              </w:rPr>
              <w:drawing>
                <wp:inline distT="0" distB="0" distL="0" distR="0">
                  <wp:extent cx="2141220" cy="1600200"/>
                  <wp:effectExtent l="0" t="0" r="508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pic:cNvPicPr>
                        </pic:nvPicPr>
                        <pic:blipFill>
                          <a:blip r:embed="rId29" cstate="hqprint"/>
                          <a:stretch>
                            <a:fillRect/>
                          </a:stretch>
                        </pic:blipFill>
                        <pic:spPr>
                          <a:xfrm>
                            <a:off x="0" y="0"/>
                            <a:ext cx="2152972" cy="1608637"/>
                          </a:xfrm>
                          <a:prstGeom prst="rect">
                            <a:avLst/>
                          </a:prstGeom>
                        </pic:spPr>
                      </pic:pic>
                    </a:graphicData>
                  </a:graphic>
                </wp:inline>
              </w:drawing>
            </w:r>
            <w:r>
              <w:rPr>
                <w:rFonts w:hint="eastAsia" w:ascii="仿宋" w:hAnsi="仿宋" w:eastAsia="仿宋" w:cs="仿宋"/>
                <w:color w:val="auto"/>
                <w:sz w:val="21"/>
                <w:szCs w:val="21"/>
              </w:rPr>
              <w:drawing>
                <wp:inline distT="0" distB="0" distL="0" distR="0">
                  <wp:extent cx="2115185" cy="1504950"/>
                  <wp:effectExtent l="0" t="0" r="5715" b="635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pic:cNvPicPr>
                        </pic:nvPicPr>
                        <pic:blipFill>
                          <a:blip r:embed="rId30"/>
                          <a:stretch>
                            <a:fillRect/>
                          </a:stretch>
                        </pic:blipFill>
                        <pic:spPr>
                          <a:xfrm>
                            <a:off x="0" y="0"/>
                            <a:ext cx="2123422" cy="1510631"/>
                          </a:xfrm>
                          <a:prstGeom prst="rect">
                            <a:avLst/>
                          </a:prstGeom>
                        </pic:spPr>
                      </pic:pic>
                    </a:graphicData>
                  </a:graphic>
                </wp:inline>
              </w:drawing>
            </w:r>
          </w:p>
          <w:p>
            <w:pPr>
              <w:widowControl/>
              <w:jc w:val="left"/>
              <w:rPr>
                <w:rFonts w:hint="eastAsia" w:ascii="仿宋" w:hAnsi="仿宋" w:eastAsia="仿宋" w:cs="仿宋"/>
                <w:color w:val="auto"/>
                <w:kern w:val="2"/>
                <w:sz w:val="21"/>
                <w:szCs w:val="21"/>
                <w:lang w:val="en-US" w:eastAsia="zh-CN" w:bidi="ar-SA"/>
              </w:rPr>
            </w:pPr>
            <w:r>
              <w:rPr>
                <w:rFonts w:hint="eastAsia" w:ascii="仿宋" w:hAnsi="仿宋" w:eastAsia="仿宋" w:cs="仿宋"/>
                <w:color w:val="auto"/>
                <w:sz w:val="21"/>
                <w:szCs w:val="21"/>
              </w:rPr>
              <w:t>当液压油站超压时，泄压阀动作释放压力，防止因超压导致事故发生。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556" w:type="dxa"/>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3</w:t>
            </w:r>
          </w:p>
        </w:tc>
        <w:tc>
          <w:tcPr>
            <w:tcW w:w="1022" w:type="dxa"/>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kern w:val="0"/>
                <w:sz w:val="21"/>
                <w:szCs w:val="21"/>
              </w:rPr>
              <w:t>铜冶炼</w:t>
            </w:r>
          </w:p>
        </w:tc>
        <w:tc>
          <w:tcPr>
            <w:tcW w:w="1871" w:type="dxa"/>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锅炉落料清理</w:t>
            </w:r>
          </w:p>
        </w:tc>
        <w:tc>
          <w:tcPr>
            <w:tcW w:w="1871" w:type="dxa"/>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1.劳保护品穿戴不规范、不齐全。</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2.清理时锅炉内部粘接脱落、落料位移对正在清理的人员造成伤害。</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3.进入锅炉内部进行清理作业。</w:t>
            </w:r>
          </w:p>
        </w:tc>
        <w:tc>
          <w:tcPr>
            <w:tcW w:w="2592" w:type="dxa"/>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采用遥控打渣机进行清理</w:t>
            </w:r>
          </w:p>
        </w:tc>
        <w:tc>
          <w:tcPr>
            <w:tcW w:w="3309" w:type="dxa"/>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1.清理时，刮板机必须先停机、挂牌、打切。</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2.禁止进入锅炉内部进行清理作业。</w:t>
            </w:r>
          </w:p>
        </w:tc>
        <w:tc>
          <w:tcPr>
            <w:tcW w:w="3673" w:type="dxa"/>
            <w:shd w:val="clear" w:color="auto" w:fill="auto"/>
            <w:vAlign w:val="center"/>
          </w:tcPr>
          <w:p>
            <w:pPr>
              <w:widowControl/>
              <w:jc w:val="center"/>
              <w:rPr>
                <w:rFonts w:hint="eastAsia" w:ascii="仿宋" w:hAnsi="仿宋" w:eastAsia="仿宋" w:cs="仿宋"/>
                <w:color w:val="auto"/>
                <w:sz w:val="21"/>
                <w:szCs w:val="21"/>
              </w:rPr>
            </w:pPr>
            <w:r>
              <w:rPr>
                <w:rFonts w:hint="eastAsia" w:ascii="仿宋" w:hAnsi="仿宋" w:eastAsia="仿宋" w:cs="仿宋"/>
                <w:color w:val="auto"/>
                <w:sz w:val="21"/>
                <w:szCs w:val="21"/>
              </w:rPr>
              <w:drawing>
                <wp:inline distT="0" distB="0" distL="0" distR="0">
                  <wp:extent cx="2131060" cy="1587500"/>
                  <wp:effectExtent l="0" t="0" r="254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pic:cNvPicPr>
                        </pic:nvPicPr>
                        <pic:blipFill>
                          <a:blip r:embed="rId31" cstate="hqprint"/>
                          <a:stretch>
                            <a:fillRect/>
                          </a:stretch>
                        </pic:blipFill>
                        <pic:spPr>
                          <a:xfrm>
                            <a:off x="0" y="0"/>
                            <a:ext cx="2145373" cy="1598569"/>
                          </a:xfrm>
                          <a:prstGeom prst="rect">
                            <a:avLst/>
                          </a:prstGeom>
                        </pic:spPr>
                      </pic:pic>
                    </a:graphicData>
                  </a:graphic>
                </wp:inline>
              </w:drawing>
            </w:r>
          </w:p>
          <w:p>
            <w:pPr>
              <w:widowControl/>
              <w:jc w:val="center"/>
              <w:rPr>
                <w:rFonts w:hint="eastAsia" w:ascii="仿宋" w:hAnsi="仿宋" w:eastAsia="仿宋" w:cs="仿宋"/>
                <w:color w:val="auto"/>
                <w:sz w:val="21"/>
                <w:szCs w:val="21"/>
                <w:lang w:val="en-US" w:eastAsia="zh-CN"/>
              </w:rPr>
            </w:pPr>
            <w:r>
              <w:rPr>
                <w:rFonts w:hint="eastAsia" w:ascii="仿宋" w:hAnsi="仿宋" w:eastAsia="仿宋" w:cs="仿宋"/>
                <w:color w:val="auto"/>
                <w:sz w:val="21"/>
                <w:szCs w:val="21"/>
                <w:lang w:val="en-US" w:eastAsia="zh-CN"/>
              </w:rPr>
              <w:t>遥控打渣机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556" w:type="dxa"/>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4</w:t>
            </w:r>
          </w:p>
        </w:tc>
        <w:tc>
          <w:tcPr>
            <w:tcW w:w="1022" w:type="dxa"/>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kern w:val="0"/>
                <w:sz w:val="21"/>
                <w:szCs w:val="21"/>
              </w:rPr>
              <w:t>铜冶炼</w:t>
            </w:r>
          </w:p>
        </w:tc>
        <w:tc>
          <w:tcPr>
            <w:tcW w:w="1871" w:type="dxa"/>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料仓清理</w:t>
            </w:r>
          </w:p>
        </w:tc>
        <w:tc>
          <w:tcPr>
            <w:tcW w:w="1871" w:type="dxa"/>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1.清理过程中未遵循“自上而下”的原则。</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2.清理过程中，未系好安全带，未站立在安全位置。</w:t>
            </w:r>
          </w:p>
        </w:tc>
        <w:tc>
          <w:tcPr>
            <w:tcW w:w="2592" w:type="dxa"/>
            <w:shd w:val="clear" w:color="auto" w:fill="auto"/>
            <w:vAlign w:val="center"/>
          </w:tcPr>
          <w:p>
            <w:pPr>
              <w:widowControl/>
              <w:jc w:val="left"/>
              <w:rPr>
                <w:rFonts w:hint="eastAsia" w:ascii="仿宋" w:hAnsi="仿宋" w:eastAsia="仿宋" w:cs="仿宋"/>
                <w:color w:val="auto"/>
                <w:sz w:val="21"/>
                <w:szCs w:val="21"/>
              </w:rPr>
            </w:pPr>
          </w:p>
        </w:tc>
        <w:tc>
          <w:tcPr>
            <w:tcW w:w="3309" w:type="dxa"/>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1.必须遵循“自上而下”的原则。</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2.在仓内清理时要系好安全带。</w:t>
            </w:r>
          </w:p>
        </w:tc>
        <w:tc>
          <w:tcPr>
            <w:tcW w:w="3673" w:type="dxa"/>
            <w:shd w:val="clear" w:color="auto" w:fill="auto"/>
            <w:vAlign w:val="center"/>
          </w:tcPr>
          <w:p>
            <w:pPr>
              <w:widowControl/>
              <w:jc w:val="center"/>
              <w:rPr>
                <w:rFonts w:hint="eastAsia" w:ascii="仿宋" w:hAnsi="仿宋" w:eastAsia="仿宋" w:cs="仿宋"/>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556" w:type="dxa"/>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5</w:t>
            </w:r>
          </w:p>
        </w:tc>
        <w:tc>
          <w:tcPr>
            <w:tcW w:w="1022" w:type="dxa"/>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kern w:val="0"/>
                <w:sz w:val="21"/>
                <w:szCs w:val="21"/>
              </w:rPr>
              <w:t>铜冶炼</w:t>
            </w:r>
          </w:p>
        </w:tc>
        <w:tc>
          <w:tcPr>
            <w:tcW w:w="1871" w:type="dxa"/>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铜、渣溜槽更换</w:t>
            </w:r>
          </w:p>
        </w:tc>
        <w:tc>
          <w:tcPr>
            <w:tcW w:w="1871" w:type="dxa"/>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1.电动葫芦、吊具有缺陷。</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2.转运过程中溜槽及附属物脱落。</w:t>
            </w:r>
          </w:p>
        </w:tc>
        <w:tc>
          <w:tcPr>
            <w:tcW w:w="2592" w:type="dxa"/>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电动葫芦限重联锁齐全有效。</w:t>
            </w:r>
          </w:p>
        </w:tc>
        <w:tc>
          <w:tcPr>
            <w:tcW w:w="3309" w:type="dxa"/>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1.作业前对电动葫芦及吊具进行检查确认。</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2.转运过程中确认溜槽及附属物牢固。</w:t>
            </w:r>
          </w:p>
        </w:tc>
        <w:tc>
          <w:tcPr>
            <w:tcW w:w="3673" w:type="dxa"/>
            <w:shd w:val="clear" w:color="auto" w:fill="auto"/>
            <w:vAlign w:val="center"/>
          </w:tcPr>
          <w:p>
            <w:pPr>
              <w:widowControl/>
              <w:jc w:val="center"/>
              <w:rPr>
                <w:rFonts w:hint="eastAsia" w:ascii="仿宋" w:hAnsi="仿宋" w:eastAsia="仿宋" w:cs="仿宋"/>
                <w:color w:val="auto"/>
                <w:sz w:val="21"/>
                <w:szCs w:val="21"/>
              </w:rPr>
            </w:pPr>
            <w:r>
              <w:rPr>
                <w:rFonts w:hint="eastAsia" w:ascii="仿宋" w:hAnsi="仿宋" w:eastAsia="仿宋" w:cs="仿宋"/>
                <w:color w:val="auto"/>
                <w:sz w:val="21"/>
                <w:szCs w:val="21"/>
              </w:rPr>
              <w:drawing>
                <wp:inline distT="0" distB="0" distL="0" distR="0">
                  <wp:extent cx="1537335" cy="1856105"/>
                  <wp:effectExtent l="0" t="0" r="12065" b="10795"/>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pic:cNvPicPr>
                        </pic:nvPicPr>
                        <pic:blipFill>
                          <a:blip r:embed="rId32"/>
                          <a:srcRect b="9625"/>
                          <a:stretch>
                            <a:fillRect/>
                          </a:stretch>
                        </pic:blipFill>
                        <pic:spPr>
                          <a:xfrm>
                            <a:off x="0" y="0"/>
                            <a:ext cx="1557196" cy="1880467"/>
                          </a:xfrm>
                          <a:prstGeom prst="rect">
                            <a:avLst/>
                          </a:prstGeom>
                          <a:ln>
                            <a:noFill/>
                          </a:ln>
                        </pic:spPr>
                      </pic:pic>
                    </a:graphicData>
                  </a:graphic>
                </wp:inline>
              </w:drawing>
            </w:r>
          </w:p>
          <w:p>
            <w:pPr>
              <w:widowControl/>
              <w:jc w:val="left"/>
              <w:rPr>
                <w:rFonts w:hint="eastAsia" w:ascii="仿宋" w:hAnsi="仿宋" w:eastAsia="仿宋" w:cs="仿宋"/>
                <w:color w:val="auto"/>
                <w:kern w:val="2"/>
                <w:sz w:val="21"/>
                <w:szCs w:val="21"/>
                <w:lang w:val="en-US" w:eastAsia="zh-CN" w:bidi="ar-SA"/>
              </w:rPr>
            </w:pPr>
            <w:r>
              <w:rPr>
                <w:rFonts w:hint="eastAsia" w:ascii="仿宋" w:hAnsi="仿宋" w:eastAsia="仿宋" w:cs="仿宋"/>
                <w:color w:val="auto"/>
                <w:sz w:val="21"/>
                <w:szCs w:val="21"/>
              </w:rPr>
              <w:t>当吊物超重时，限重开关启动，防止因吊物超重导致起重伤害事故。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556" w:type="dxa"/>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6</w:t>
            </w:r>
          </w:p>
        </w:tc>
        <w:tc>
          <w:tcPr>
            <w:tcW w:w="1022" w:type="dxa"/>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kern w:val="0"/>
                <w:sz w:val="21"/>
                <w:szCs w:val="21"/>
              </w:rPr>
              <w:t>铜冶炼</w:t>
            </w:r>
          </w:p>
        </w:tc>
        <w:tc>
          <w:tcPr>
            <w:tcW w:w="1871" w:type="dxa"/>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选矿磨机</w:t>
            </w:r>
          </w:p>
        </w:tc>
        <w:tc>
          <w:tcPr>
            <w:tcW w:w="1871" w:type="dxa"/>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1.磨机添加钢球时，钢球散落。</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2.磨机检维修时，未停机挂牌，制动安全设施失效或缺失。</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3.磨机衬板更换时衬板脱落。</w:t>
            </w:r>
          </w:p>
        </w:tc>
        <w:tc>
          <w:tcPr>
            <w:tcW w:w="2592" w:type="dxa"/>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1.添加钢球时检查包装及转运装置。</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2.设置紧急制动。</w:t>
            </w:r>
          </w:p>
        </w:tc>
        <w:tc>
          <w:tcPr>
            <w:tcW w:w="3309" w:type="dxa"/>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1.定期检查磨机衬板以及螺栓磨损情况。</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2.设置安全护栏，张贴安全警示标识。</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3.制定检维修方案，并严格落实。</w:t>
            </w:r>
          </w:p>
        </w:tc>
        <w:tc>
          <w:tcPr>
            <w:tcW w:w="3673" w:type="dxa"/>
            <w:shd w:val="clear" w:color="auto" w:fill="auto"/>
            <w:vAlign w:val="center"/>
          </w:tcPr>
          <w:p>
            <w:pPr>
              <w:widowControl/>
              <w:jc w:val="center"/>
              <w:rPr>
                <w:rFonts w:hint="eastAsia" w:ascii="仿宋" w:hAnsi="仿宋" w:eastAsia="仿宋" w:cs="仿宋"/>
                <w:color w:val="auto"/>
                <w:kern w:val="2"/>
                <w:sz w:val="21"/>
                <w:szCs w:val="21"/>
                <w:lang w:val="en-US" w:eastAsia="zh-CN" w:bidi="ar-SA"/>
              </w:rPr>
            </w:pPr>
            <w:r>
              <w:rPr>
                <w:rFonts w:hint="eastAsia" w:ascii="仿宋" w:hAnsi="仿宋" w:eastAsia="仿宋" w:cs="仿宋"/>
                <w:color w:val="auto"/>
                <w:sz w:val="21"/>
                <w:szCs w:val="21"/>
              </w:rPr>
              <w:drawing>
                <wp:inline distT="0" distB="0" distL="0" distR="0">
                  <wp:extent cx="2000250" cy="1323975"/>
                  <wp:effectExtent l="0" t="0" r="6350" b="9525"/>
                  <wp:docPr id="18" name="图片 18" descr="磨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磨机"/>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a:xfrm>
                            <a:off x="0" y="0"/>
                            <a:ext cx="2000250" cy="132397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556" w:type="dxa"/>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7</w:t>
            </w:r>
          </w:p>
        </w:tc>
        <w:tc>
          <w:tcPr>
            <w:tcW w:w="1022" w:type="dxa"/>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kern w:val="0"/>
                <w:sz w:val="21"/>
                <w:szCs w:val="21"/>
              </w:rPr>
              <w:t>铜冶炼</w:t>
            </w:r>
          </w:p>
        </w:tc>
        <w:tc>
          <w:tcPr>
            <w:tcW w:w="1871" w:type="dxa"/>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冶金炉冷修</w:t>
            </w:r>
          </w:p>
        </w:tc>
        <w:tc>
          <w:tcPr>
            <w:tcW w:w="1871" w:type="dxa"/>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1.吊挂砖、炉壁耐火砖脱落。</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2.挖补时炉内耐火砖坍塌。</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3.维修工器具、物料高处掉落，脚手架坍塌。</w:t>
            </w:r>
          </w:p>
        </w:tc>
        <w:tc>
          <w:tcPr>
            <w:tcW w:w="2592" w:type="dxa"/>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1.冷修或挖补时采用丝杠等方式支撑。</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2.作业面利用脚手架加隔板等方式进行隔离。</w:t>
            </w:r>
          </w:p>
        </w:tc>
        <w:tc>
          <w:tcPr>
            <w:tcW w:w="3309" w:type="dxa"/>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制定检维修方案，并严格落实。</w:t>
            </w:r>
          </w:p>
        </w:tc>
        <w:tc>
          <w:tcPr>
            <w:tcW w:w="3673" w:type="dxa"/>
            <w:shd w:val="clear" w:color="auto" w:fill="auto"/>
            <w:vAlign w:val="center"/>
          </w:tcPr>
          <w:p>
            <w:pPr>
              <w:widowControl/>
              <w:jc w:val="center"/>
              <w:rPr>
                <w:rFonts w:hint="eastAsia" w:ascii="仿宋" w:hAnsi="仿宋" w:eastAsia="仿宋" w:cs="仿宋"/>
                <w:color w:val="auto"/>
                <w:sz w:val="21"/>
                <w:szCs w:val="21"/>
              </w:rPr>
            </w:pPr>
            <w:r>
              <w:rPr>
                <w:rFonts w:hint="eastAsia" w:ascii="仿宋" w:hAnsi="仿宋" w:eastAsia="仿宋" w:cs="仿宋"/>
                <w:color w:val="auto"/>
                <w:sz w:val="21"/>
                <w:szCs w:val="21"/>
              </w:rPr>
              <w:drawing>
                <wp:inline distT="0" distB="0" distL="0" distR="0">
                  <wp:extent cx="2000250" cy="1334770"/>
                  <wp:effectExtent l="0" t="0" r="6350" b="1143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pic:cNvPicPr>
                        </pic:nvPicPr>
                        <pic:blipFill>
                          <a:blip r:embed="rId34"/>
                          <a:stretch>
                            <a:fillRect/>
                          </a:stretch>
                        </pic:blipFill>
                        <pic:spPr>
                          <a:xfrm>
                            <a:off x="0" y="0"/>
                            <a:ext cx="2011002" cy="1341973"/>
                          </a:xfrm>
                          <a:prstGeom prst="rect">
                            <a:avLst/>
                          </a:prstGeom>
                        </pic:spPr>
                      </pic:pic>
                    </a:graphicData>
                  </a:graphic>
                </wp:inline>
              </w:drawing>
            </w:r>
          </w:p>
          <w:p>
            <w:pPr>
              <w:widowControl/>
              <w:jc w:val="left"/>
              <w:rPr>
                <w:rFonts w:hint="eastAsia" w:ascii="仿宋" w:hAnsi="仿宋" w:eastAsia="仿宋" w:cs="仿宋"/>
                <w:color w:val="auto"/>
                <w:kern w:val="2"/>
                <w:sz w:val="21"/>
                <w:szCs w:val="21"/>
                <w:lang w:val="en-US" w:eastAsia="zh-CN" w:bidi="ar-SA"/>
              </w:rPr>
            </w:pPr>
            <w:r>
              <w:rPr>
                <w:rFonts w:hint="eastAsia" w:ascii="仿宋" w:hAnsi="仿宋" w:eastAsia="仿宋" w:cs="仿宋"/>
                <w:color w:val="auto"/>
                <w:sz w:val="21"/>
                <w:szCs w:val="21"/>
              </w:rPr>
              <w:t>利用丝杠支撑防止上部已砌筑的耐火砖坍塌伤人。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556" w:type="dxa"/>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8</w:t>
            </w:r>
          </w:p>
        </w:tc>
        <w:tc>
          <w:tcPr>
            <w:tcW w:w="1022" w:type="dxa"/>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氧化铝</w:t>
            </w:r>
          </w:p>
        </w:tc>
        <w:tc>
          <w:tcPr>
            <w:tcW w:w="1871" w:type="dxa"/>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沉降槽、矿浆槽、分解槽、保温罐、闪蒸器等槽罐操作、检修、清理作业。</w:t>
            </w:r>
          </w:p>
        </w:tc>
        <w:tc>
          <w:tcPr>
            <w:tcW w:w="1871" w:type="dxa"/>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1.槽罐清理过程中，槽壁结疤脱落。</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2.顶物体临边放置或部件固定不牢，高空坠物。</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3.上下交叉作业，下层人员砸伤。</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4.电机、减速机及搅拌底轴头、底轴座放置或检修过程中倾倒。</w:t>
            </w:r>
          </w:p>
        </w:tc>
        <w:tc>
          <w:tcPr>
            <w:tcW w:w="2592" w:type="dxa"/>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1.槽罐清理前进行碱煮作业，清除槽壁结疤。</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2.槽顶临边设置踢脚板。</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3.高处作业时架设隔离架板，搭设安全网。</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4.制作防倾倒专用器具。</w:t>
            </w:r>
          </w:p>
        </w:tc>
        <w:tc>
          <w:tcPr>
            <w:tcW w:w="3309" w:type="dxa"/>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1.清理槽罐时，制定槽罐清理方案，必须采取自上而下的清理方式。</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2.多人拆装作业时人员配合到位，在拆装过程中不得将身体部位置于工件下方。</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3.交叉作业正下方严禁站人，与其他作业交叉进行时，必须按指定路线上下，上下层同时进行工作时中间必须搭设严密的防护隔板或其他隔离设施。</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4.正确佩戴安全帽、防护眼镜、防护面罩、劳保鞋等防物体打击劳保用品。</w:t>
            </w:r>
          </w:p>
        </w:tc>
        <w:tc>
          <w:tcPr>
            <w:tcW w:w="3673" w:type="dxa"/>
            <w:shd w:val="clear" w:color="auto" w:fill="auto"/>
            <w:vAlign w:val="center"/>
          </w:tcPr>
          <w:p>
            <w:pPr>
              <w:widowControl/>
              <w:jc w:val="center"/>
              <w:rPr>
                <w:rFonts w:hint="eastAsia" w:ascii="仿宋" w:hAnsi="仿宋" w:eastAsia="仿宋" w:cs="仿宋"/>
                <w:color w:val="auto"/>
                <w:sz w:val="21"/>
                <w:szCs w:val="21"/>
              </w:rPr>
            </w:pPr>
            <w:r>
              <w:rPr>
                <w:rFonts w:hint="eastAsia" w:ascii="仿宋" w:hAnsi="仿宋" w:eastAsia="仿宋" w:cs="仿宋"/>
                <w:color w:val="auto"/>
                <w:sz w:val="21"/>
                <w:szCs w:val="21"/>
              </w:rPr>
              <w:drawing>
                <wp:inline distT="0" distB="0" distL="0" distR="0">
                  <wp:extent cx="1996440" cy="1037590"/>
                  <wp:effectExtent l="0" t="0" r="10160" b="3810"/>
                  <wp:docPr id="24" name="Picture 35" descr="a8a58c78e0ff9f5f5f567304c751cfe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35" descr="a8a58c78e0ff9f5f5f567304c751cfe5"/>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a:xfrm>
                            <a:off x="0" y="0"/>
                            <a:ext cx="2000402" cy="1040064"/>
                          </a:xfrm>
                          <a:prstGeom prst="rect">
                            <a:avLst/>
                          </a:prstGeom>
                          <a:noFill/>
                          <a:ln>
                            <a:noFill/>
                          </a:ln>
                        </pic:spPr>
                      </pic:pic>
                    </a:graphicData>
                  </a:graphic>
                </wp:inline>
              </w:drawing>
            </w:r>
          </w:p>
          <w:p>
            <w:pPr>
              <w:widowControl/>
              <w:jc w:val="center"/>
              <w:rPr>
                <w:rFonts w:hint="eastAsia" w:ascii="仿宋" w:hAnsi="仿宋" w:eastAsia="仿宋" w:cs="仿宋"/>
                <w:color w:val="auto"/>
                <w:sz w:val="21"/>
                <w:szCs w:val="21"/>
              </w:rPr>
            </w:pPr>
            <w:r>
              <w:rPr>
                <w:rFonts w:hint="eastAsia" w:ascii="仿宋" w:hAnsi="仿宋" w:eastAsia="仿宋" w:cs="仿宋"/>
                <w:color w:val="auto"/>
                <w:sz w:val="21"/>
                <w:szCs w:val="21"/>
              </w:rPr>
              <mc:AlternateContent>
                <mc:Choice Requires="wps">
                  <w:drawing>
                    <wp:anchor distT="0" distB="0" distL="114300" distR="114300" simplePos="0" relativeHeight="251659264" behindDoc="0" locked="0" layoutInCell="1" allowOverlap="1">
                      <wp:simplePos x="0" y="0"/>
                      <wp:positionH relativeFrom="column">
                        <wp:posOffset>422275</wp:posOffset>
                      </wp:positionH>
                      <wp:positionV relativeFrom="paragraph">
                        <wp:posOffset>323215</wp:posOffset>
                      </wp:positionV>
                      <wp:extent cx="1657350" cy="723900"/>
                      <wp:effectExtent l="6350" t="6350" r="12700" b="107950"/>
                      <wp:wrapNone/>
                      <wp:docPr id="25" name="椭圆形标注 25"/>
                      <wp:cNvGraphicFramePr/>
                      <a:graphic xmlns:a="http://schemas.openxmlformats.org/drawingml/2006/main">
                        <a:graphicData uri="http://schemas.microsoft.com/office/word/2010/wordprocessingShape">
                          <wps:wsp>
                            <wps:cNvSpPr/>
                            <wps:spPr>
                              <a:xfrm>
                                <a:off x="0" y="0"/>
                                <a:ext cx="1657350" cy="723900"/>
                              </a:xfrm>
                              <a:prstGeom prst="wedgeEllipseCallout">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color w:val="FF0000"/>
                                    </w:rPr>
                                  </w:pPr>
                                  <w:r>
                                    <w:rPr>
                                      <w:rFonts w:hint="eastAsia"/>
                                      <w:color w:val="FF0000"/>
                                    </w:rPr>
                                    <w:t>设置踢脚板</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3" type="#_x0000_t63" style="position:absolute;left:0pt;margin-left:33.25pt;margin-top:25.45pt;height:57pt;width:130.5pt;z-index:251659264;v-text-anchor:middle;mso-width-relative:page;mso-height-relative:page;" filled="f" stroked="t" coordsize="21600,21600" o:gfxdata="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" adj="6300,24300">
                      <v:fill on="f" focussize="0,0"/>
                      <v:stroke weight="1pt" color="#2F528F [3204]" miterlimit="8" joinstyle="miter"/>
                      <v:imagedata o:title=""/>
                      <o:lock v:ext="edit" aspectratio="f"/>
                      <v:textbox>
                        <w:txbxContent>
                          <w:p>
                            <w:pPr>
                              <w:jc w:val="center"/>
                              <w:rPr>
                                <w:color w:val="FF0000"/>
                              </w:rPr>
                            </w:pPr>
                            <w:r>
                              <w:rPr>
                                <w:rFonts w:hint="eastAsia"/>
                                <w:color w:val="FF0000"/>
                              </w:rPr>
                              <w:t>设置踢脚板</w:t>
                            </w:r>
                          </w:p>
                        </w:txbxContent>
                      </v:textbox>
                    </v:shape>
                  </w:pict>
                </mc:Fallback>
              </mc:AlternateContent>
            </w:r>
            <w:r>
              <w:rPr>
                <w:rFonts w:hint="eastAsia" w:ascii="仿宋" w:hAnsi="仿宋" w:eastAsia="仿宋" w:cs="仿宋"/>
                <w:color w:val="auto"/>
                <w:sz w:val="21"/>
                <w:szCs w:val="21"/>
              </w:rPr>
              <w:drawing>
                <wp:inline distT="0" distB="0" distL="0" distR="0">
                  <wp:extent cx="1975485" cy="1082675"/>
                  <wp:effectExtent l="0" t="0" r="5715" b="9525"/>
                  <wp:docPr id="26" name="Picture 28" descr="855f431ecc173ba22baf6d88ea72425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8" descr="855f431ecc173ba22baf6d88ea72425b"/>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a:xfrm>
                            <a:off x="0" y="0"/>
                            <a:ext cx="1994299" cy="1093283"/>
                          </a:xfrm>
                          <a:prstGeom prst="rect">
                            <a:avLst/>
                          </a:prstGeom>
                          <a:noFill/>
                          <a:ln>
                            <a:noFill/>
                          </a:ln>
                        </pic:spPr>
                      </pic:pic>
                    </a:graphicData>
                  </a:graphic>
                </wp:inline>
              </w:drawing>
            </w:r>
          </w:p>
          <w:p>
            <w:pPr>
              <w:widowControl/>
              <w:jc w:val="center"/>
              <w:rPr>
                <w:rFonts w:hint="eastAsia" w:ascii="仿宋" w:hAnsi="仿宋" w:eastAsia="仿宋" w:cs="仿宋"/>
                <w:color w:val="auto"/>
                <w:sz w:val="21"/>
                <w:szCs w:val="21"/>
              </w:rPr>
            </w:pPr>
            <w:r>
              <w:rPr>
                <w:rFonts w:hint="eastAsia" w:ascii="仿宋" w:hAnsi="仿宋" w:eastAsia="仿宋" w:cs="仿宋"/>
                <w:color w:val="auto"/>
                <w:sz w:val="21"/>
                <w:szCs w:val="21"/>
              </w:rPr>
              <w:t>槽罐设置围栏及踢脚板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556" w:type="dxa"/>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9</w:t>
            </w:r>
          </w:p>
        </w:tc>
        <w:tc>
          <w:tcPr>
            <w:tcW w:w="1022" w:type="dxa"/>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氧化铝</w:t>
            </w:r>
          </w:p>
        </w:tc>
        <w:tc>
          <w:tcPr>
            <w:tcW w:w="1871" w:type="dxa"/>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平盘、立盘</w:t>
            </w:r>
          </w:p>
        </w:tc>
        <w:tc>
          <w:tcPr>
            <w:tcW w:w="1871" w:type="dxa"/>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1.设备部件运行中飞出。</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2.更换滤布作业时从操作平台投掷扇形班。</w:t>
            </w:r>
          </w:p>
        </w:tc>
        <w:tc>
          <w:tcPr>
            <w:tcW w:w="2592" w:type="dxa"/>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1.机械部件固定牢固，对可能发生部件飞出的部位加装防护罩。</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2.设置扇形班滑道。</w:t>
            </w:r>
          </w:p>
        </w:tc>
        <w:tc>
          <w:tcPr>
            <w:tcW w:w="3309" w:type="dxa"/>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1.定期对设备进行检查，更换滤布作业时，设备部件等紧固到位，防止部件运行中飞出。</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2.加强检查管理，严禁投掷扇形板。</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3.更换滤布作业时，严格按照操作规程，正确使用工器。</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4.正确佩戴安全帽、防护眼镜、防护面罩、劳保鞋等防物体打击劳保用品。配备防砸手套。</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5.编制物体打击现场处置方案。</w:t>
            </w:r>
          </w:p>
        </w:tc>
        <w:tc>
          <w:tcPr>
            <w:tcW w:w="3673" w:type="dxa"/>
            <w:shd w:val="clear" w:color="auto" w:fill="auto"/>
            <w:vAlign w:val="center"/>
          </w:tcPr>
          <w:p>
            <w:pPr>
              <w:widowControl/>
              <w:jc w:val="center"/>
              <w:rPr>
                <w:rFonts w:hint="eastAsia" w:ascii="仿宋" w:hAnsi="仿宋" w:eastAsia="仿宋" w:cs="仿宋"/>
                <w:color w:val="auto"/>
                <w:sz w:val="21"/>
                <w:szCs w:val="21"/>
              </w:rPr>
            </w:pPr>
            <w:r>
              <w:rPr>
                <w:rFonts w:hint="eastAsia" w:ascii="仿宋" w:hAnsi="仿宋" w:eastAsia="仿宋" w:cs="仿宋"/>
                <w:color w:val="auto"/>
                <w:sz w:val="21"/>
                <w:szCs w:val="21"/>
              </w:rPr>
              <mc:AlternateContent>
                <mc:Choice Requires="wps">
                  <w:drawing>
                    <wp:anchor distT="0" distB="0" distL="114300" distR="114300" simplePos="0" relativeHeight="251660288" behindDoc="0" locked="0" layoutInCell="1" allowOverlap="1">
                      <wp:simplePos x="0" y="0"/>
                      <wp:positionH relativeFrom="column">
                        <wp:posOffset>833120</wp:posOffset>
                      </wp:positionH>
                      <wp:positionV relativeFrom="paragraph">
                        <wp:posOffset>690245</wp:posOffset>
                      </wp:positionV>
                      <wp:extent cx="1019175" cy="1000125"/>
                      <wp:effectExtent l="6350" t="6350" r="15875" b="149225"/>
                      <wp:wrapNone/>
                      <wp:docPr id="28" name="椭圆形标注 28"/>
                      <wp:cNvGraphicFramePr/>
                      <a:graphic xmlns:a="http://schemas.openxmlformats.org/drawingml/2006/main">
                        <a:graphicData uri="http://schemas.microsoft.com/office/word/2010/wordprocessingShape">
                          <wps:wsp>
                            <wps:cNvSpPr/>
                            <wps:spPr>
                              <a:xfrm>
                                <a:off x="0" y="0"/>
                                <a:ext cx="1019175" cy="1000125"/>
                              </a:xfrm>
                              <a:prstGeom prst="wedgeEllipseCallout">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ascii="宋体" w:hAnsi="宋体" w:eastAsia="宋体"/>
                                      <w:b/>
                                      <w:color w:val="FF0000"/>
                                    </w:rPr>
                                  </w:pPr>
                                  <w:r>
                                    <w:rPr>
                                      <w:rFonts w:hint="eastAsia" w:ascii="宋体" w:hAnsi="宋体" w:eastAsia="宋体"/>
                                      <w:b/>
                                      <w:color w:val="FF0000"/>
                                    </w:rPr>
                                    <w:t>设置专用滑道</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3" type="#_x0000_t63" style="position:absolute;left:0pt;margin-left:65.6pt;margin-top:54.35pt;height:78.75pt;width:80.25pt;z-index:251660288;v-text-anchor:middle;mso-width-relative:page;mso-height-relative:page;" filled="f" stroked="t" coordsize="21600,21600" o:gfxdata="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" adj="6300,24300">
                      <v:fill on="f" focussize="0,0"/>
                      <v:stroke weight="1pt" color="#2F528F [3204]" miterlimit="8" joinstyle="miter"/>
                      <v:imagedata o:title=""/>
                      <o:lock v:ext="edit" aspectratio="f"/>
                      <v:textbox>
                        <w:txbxContent>
                          <w:p>
                            <w:pPr>
                              <w:jc w:val="center"/>
                              <w:rPr>
                                <w:rFonts w:ascii="宋体" w:hAnsi="宋体" w:eastAsia="宋体"/>
                                <w:b/>
                                <w:color w:val="FF0000"/>
                              </w:rPr>
                            </w:pPr>
                            <w:r>
                              <w:rPr>
                                <w:rFonts w:hint="eastAsia" w:ascii="宋体" w:hAnsi="宋体" w:eastAsia="宋体"/>
                                <w:b/>
                                <w:color w:val="FF0000"/>
                              </w:rPr>
                              <w:t>设置专用滑道</w:t>
                            </w:r>
                          </w:p>
                        </w:txbxContent>
                      </v:textbox>
                    </v:shape>
                  </w:pict>
                </mc:Fallback>
              </mc:AlternateContent>
            </w:r>
            <w:r>
              <w:rPr>
                <w:rFonts w:hint="eastAsia" w:ascii="仿宋" w:hAnsi="仿宋" w:eastAsia="仿宋" w:cs="仿宋"/>
                <w:color w:val="auto"/>
                <w:sz w:val="21"/>
                <w:szCs w:val="21"/>
              </w:rPr>
              <w:drawing>
                <wp:inline distT="0" distB="0" distL="0" distR="0">
                  <wp:extent cx="2438400" cy="1876425"/>
                  <wp:effectExtent l="0" t="0" r="0" b="3175"/>
                  <wp:docPr id="29" name="Picture 1" descr="图片2"/>
                  <wp:cNvGraphicFramePr/>
                  <a:graphic xmlns:a="http://schemas.openxmlformats.org/drawingml/2006/main">
                    <a:graphicData uri="http://schemas.openxmlformats.org/drawingml/2006/picture">
                      <pic:pic xmlns:pic="http://schemas.openxmlformats.org/drawingml/2006/picture">
                        <pic:nvPicPr>
                          <pic:cNvPr id="29" name="Picture 1" descr="图片2"/>
                          <pic:cNvPicPr>
                            <a:picLocks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a:xfrm>
                            <a:off x="0" y="0"/>
                            <a:ext cx="2483198" cy="1910898"/>
                          </a:xfrm>
                          <a:prstGeom prst="rect">
                            <a:avLst/>
                          </a:prstGeom>
                          <a:noFill/>
                          <a:ln>
                            <a:noFill/>
                          </a:ln>
                        </pic:spPr>
                      </pic:pic>
                    </a:graphicData>
                  </a:graphic>
                </wp:inline>
              </w:drawing>
            </w:r>
          </w:p>
          <w:p>
            <w:pPr>
              <w:widowControl/>
              <w:jc w:val="center"/>
              <w:rPr>
                <w:rFonts w:hint="eastAsia" w:ascii="仿宋" w:hAnsi="仿宋" w:eastAsia="仿宋" w:cs="仿宋"/>
                <w:color w:val="auto"/>
                <w:sz w:val="21"/>
                <w:szCs w:val="21"/>
              </w:rPr>
            </w:pPr>
            <w:r>
              <w:rPr>
                <w:rFonts w:hint="eastAsia" w:ascii="仿宋" w:hAnsi="仿宋" w:eastAsia="仿宋" w:cs="仿宋"/>
                <w:color w:val="auto"/>
                <w:sz w:val="21"/>
                <w:szCs w:val="21"/>
              </w:rPr>
              <w:t>设置专用扇形板滑道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556" w:type="dxa"/>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10</w:t>
            </w:r>
          </w:p>
        </w:tc>
        <w:tc>
          <w:tcPr>
            <w:tcW w:w="1022" w:type="dxa"/>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氧化铝</w:t>
            </w:r>
          </w:p>
        </w:tc>
        <w:tc>
          <w:tcPr>
            <w:tcW w:w="1871" w:type="dxa"/>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吸收塔、事故浆液箱内部清理</w:t>
            </w:r>
          </w:p>
        </w:tc>
        <w:tc>
          <w:tcPr>
            <w:tcW w:w="1871" w:type="dxa"/>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1.上下交叉作业未落实防坠措施。</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2.清理作业时喷嘴或物件脱落。</w:t>
            </w:r>
          </w:p>
        </w:tc>
        <w:tc>
          <w:tcPr>
            <w:tcW w:w="2592" w:type="dxa"/>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1.断电、验电、电压为“0V”挂牌。</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2.内部安装防坠网。</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3.高处作业时必须架设隔离架板，搭设安全网。</w:t>
            </w:r>
          </w:p>
        </w:tc>
        <w:tc>
          <w:tcPr>
            <w:tcW w:w="3309" w:type="dxa"/>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1.制定吸收塔清理方案，必须采取自上而下的清理方式。</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2.高空作业挂好安全带，检修区域严禁站人。</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3.作业人员应穿戴安全帽、劳保服、防尘口罩、手套等劳保用品。</w:t>
            </w:r>
          </w:p>
        </w:tc>
        <w:tc>
          <w:tcPr>
            <w:tcW w:w="3673" w:type="dxa"/>
            <w:shd w:val="clear" w:color="auto" w:fill="auto"/>
            <w:vAlign w:val="center"/>
          </w:tcPr>
          <w:p>
            <w:pPr>
              <w:widowControl/>
              <w:jc w:val="center"/>
              <w:rPr>
                <w:rFonts w:hint="eastAsia" w:ascii="仿宋" w:hAnsi="仿宋" w:eastAsia="仿宋" w:cs="仿宋"/>
                <w:color w:val="auto"/>
                <w:sz w:val="21"/>
                <w:szCs w:val="21"/>
              </w:rPr>
            </w:pPr>
            <w:r>
              <w:rPr>
                <w:rFonts w:hint="eastAsia" w:ascii="仿宋" w:hAnsi="仿宋" w:eastAsia="仿宋" w:cs="仿宋"/>
                <w:color w:val="auto"/>
                <w:sz w:val="21"/>
                <w:szCs w:val="21"/>
              </w:rPr>
              <w:drawing>
                <wp:inline distT="0" distB="0" distL="0" distR="0">
                  <wp:extent cx="2476500" cy="1905000"/>
                  <wp:effectExtent l="0" t="0" r="0" b="0"/>
                  <wp:docPr id="31" name="Picture 1"/>
                  <wp:cNvGraphicFramePr/>
                  <a:graphic xmlns:a="http://schemas.openxmlformats.org/drawingml/2006/main">
                    <a:graphicData uri="http://schemas.openxmlformats.org/drawingml/2006/picture">
                      <pic:pic xmlns:pic="http://schemas.openxmlformats.org/drawingml/2006/picture">
                        <pic:nvPicPr>
                          <pic:cNvPr id="31" name="Picture 1"/>
                          <pic:cNvPicPr>
                            <a:picLocks noChangeArrowheads="1"/>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484167" cy="1910898"/>
                          </a:xfrm>
                          <a:prstGeom prst="rect">
                            <a:avLst/>
                          </a:prstGeom>
                          <a:noFill/>
                          <a:ln>
                            <a:noFill/>
                          </a:ln>
                        </pic:spPr>
                      </pic:pic>
                    </a:graphicData>
                  </a:graphic>
                </wp:inline>
              </w:drawing>
            </w:r>
          </w:p>
          <w:p>
            <w:pPr>
              <w:widowControl/>
              <w:jc w:val="center"/>
              <w:rPr>
                <w:rFonts w:hint="eastAsia" w:ascii="仿宋" w:hAnsi="仿宋" w:eastAsia="仿宋" w:cs="仿宋"/>
                <w:color w:val="auto"/>
                <w:kern w:val="2"/>
                <w:sz w:val="21"/>
                <w:szCs w:val="21"/>
                <w:lang w:val="en-US" w:eastAsia="zh-CN" w:bidi="ar-SA"/>
              </w:rPr>
            </w:pPr>
            <w:r>
              <w:rPr>
                <w:rFonts w:hint="eastAsia" w:ascii="仿宋" w:hAnsi="仿宋" w:eastAsia="仿宋" w:cs="仿宋"/>
                <w:color w:val="auto"/>
                <w:sz w:val="21"/>
                <w:szCs w:val="21"/>
              </w:rPr>
              <w:t>槽罐内作业面上方设置隔离架板及防坠网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556" w:type="dxa"/>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11</w:t>
            </w:r>
          </w:p>
        </w:tc>
        <w:tc>
          <w:tcPr>
            <w:tcW w:w="1022" w:type="dxa"/>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电解铝</w:t>
            </w:r>
          </w:p>
        </w:tc>
        <w:tc>
          <w:tcPr>
            <w:tcW w:w="1871" w:type="dxa"/>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吊运母线提升框架、抬母线、槽上部设备维修、电解槽启动</w:t>
            </w:r>
          </w:p>
        </w:tc>
        <w:tc>
          <w:tcPr>
            <w:tcW w:w="1871" w:type="dxa"/>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1.天车吊运阳极滑落。</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2.更换气缸时未泄压。</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3.天车抱闸失灵或钢丝绳断裂。</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4.抬母线复紧卡具扳手断裂或者活脱导致人员失去重心摔伤或碰伤</w:t>
            </w:r>
          </w:p>
        </w:tc>
        <w:tc>
          <w:tcPr>
            <w:tcW w:w="2592" w:type="dxa"/>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1.挂极使用专用夹具、天车夹具防脱装置。</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2.更换气缸前进行泄压操作，压力表完好可靠。</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3.吊运母线提升框架应加装防坠钢丝绳。定期对抱闸及钢丝绳进行检查。作业时保证吊物下方无人员行走或停留。</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4.母线复紧应使用专用扳手。</w:t>
            </w:r>
          </w:p>
        </w:tc>
        <w:tc>
          <w:tcPr>
            <w:tcW w:w="3309" w:type="dxa"/>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1.操作前应对夹具进行检查。</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2.天车操作人员持证上岗；严格落实“十不吊”安全操作规程，专人现场进行指挥、监护。</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3.定期对操作人员进行安全操作技术规程培训及考核。</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4.操作人员应保持安全距离。</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5.操作人员佩戴好安全帽、防护面罩、劳保鞋、防护手套。</w:t>
            </w:r>
          </w:p>
        </w:tc>
        <w:tc>
          <w:tcPr>
            <w:tcW w:w="3673" w:type="dxa"/>
            <w:shd w:val="clear" w:color="auto" w:fill="auto"/>
            <w:vAlign w:val="center"/>
          </w:tcPr>
          <w:p>
            <w:pPr>
              <w:widowControl/>
              <w:jc w:val="center"/>
              <w:rPr>
                <w:rFonts w:hint="eastAsia" w:ascii="仿宋" w:hAnsi="仿宋" w:eastAsia="仿宋" w:cs="仿宋"/>
                <w:color w:val="auto"/>
                <w:sz w:val="21"/>
                <w:szCs w:val="21"/>
              </w:rPr>
            </w:pPr>
            <w:r>
              <w:rPr>
                <w:rFonts w:hint="eastAsia" w:ascii="仿宋" w:hAnsi="仿宋" w:eastAsia="仿宋" w:cs="仿宋"/>
                <w:color w:val="auto"/>
                <w:sz w:val="21"/>
                <w:szCs w:val="21"/>
              </w:rPr>
              <mc:AlternateContent>
                <mc:Choice Requires="wps">
                  <w:drawing>
                    <wp:anchor distT="0" distB="0" distL="114300" distR="114300" simplePos="0" relativeHeight="251661312" behindDoc="0" locked="0" layoutInCell="1" allowOverlap="1">
                      <wp:simplePos x="0" y="0"/>
                      <wp:positionH relativeFrom="column">
                        <wp:posOffset>695325</wp:posOffset>
                      </wp:positionH>
                      <wp:positionV relativeFrom="paragraph">
                        <wp:posOffset>187960</wp:posOffset>
                      </wp:positionV>
                      <wp:extent cx="942340" cy="1184275"/>
                      <wp:effectExtent l="19050" t="19050" r="29210" b="28575"/>
                      <wp:wrapNone/>
                      <wp:docPr id="38" name="椭圆 38"/>
                      <wp:cNvGraphicFramePr/>
                      <a:graphic xmlns:a="http://schemas.openxmlformats.org/drawingml/2006/main">
                        <a:graphicData uri="http://schemas.microsoft.com/office/word/2010/wordprocessingShape">
                          <wps:wsp>
                            <wps:cNvSpPr/>
                            <wps:spPr>
                              <a:xfrm>
                                <a:off x="8607425" y="1166495"/>
                                <a:ext cx="942340" cy="1184275"/>
                              </a:xfrm>
                              <a:prstGeom prst="ellipse">
                                <a:avLst/>
                              </a:prstGeom>
                              <a:noFill/>
                              <a:ln w="38100">
                                <a:solidFill>
                                  <a:srgbClr val="FF0000"/>
                                </a:solidFill>
                              </a:ln>
                              <a:extLst>
                                <a:ext uri="{909E8E84-426E-40DD-AFC4-6F175D3DCCD1}">
                                  <a14:hiddenFill xmlns:a14="http://schemas.microsoft.com/office/drawing/2010/main">
                                    <a:solidFill>
                                      <a:schemeClr val="accent1"/>
                                    </a:solidFill>
                                  </a14:hiddenFill>
                                </a:ext>
                              </a:ex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54.75pt;margin-top:14.8pt;height:93.25pt;width:74.2pt;z-index:251661312;v-text-anchor:middle;mso-width-relative:page;mso-height-relative:page;" filled="f" stroked="t" coordsize="21600,21600" o:gfxdata="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">
                      <v:fill on="f" focussize="0,0"/>
                      <v:stroke weight="3pt" color="#FF0000 [3204]" miterlimit="8" joinstyle="miter"/>
                      <v:imagedata o:title=""/>
                      <o:lock v:ext="edit" aspectratio="f"/>
                    </v:shape>
                  </w:pict>
                </mc:Fallback>
              </mc:AlternateContent>
            </w:r>
            <w:r>
              <w:rPr>
                <w:rFonts w:hint="eastAsia" w:ascii="仿宋" w:hAnsi="仿宋" w:eastAsia="仿宋" w:cs="仿宋"/>
                <w:color w:val="auto"/>
                <w:sz w:val="21"/>
                <w:szCs w:val="21"/>
              </w:rPr>
              <w:drawing>
                <wp:inline distT="0" distB="0" distL="0" distR="0">
                  <wp:extent cx="2470150" cy="1930400"/>
                  <wp:effectExtent l="0" t="0" r="6350" b="0"/>
                  <wp:docPr id="35" name="图片 35" descr="F:\安全生产PPT模板\PPT课件\标准化分厂\铝六标准化分厂\标准化课件图片1.26\5第四张及第五张，图为各检查人员，严格按照检查标谁化表格逐项对照检查，检查工作有序、严谨、全面。极大提高了工作效率及质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F:\安全生产PPT模板\PPT课件\标准化分厂\铝六标准化分厂\标准化课件图片1.26\5第四张及第五张，图为各检查人员，严格按照检查标谁化表格逐项对照检查，检查工作有序、严谨、全面。极大提高了工作效率及质量.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a:xfrm>
                            <a:off x="0" y="0"/>
                            <a:ext cx="2484118" cy="1940819"/>
                          </a:xfrm>
                          <a:prstGeom prst="rect">
                            <a:avLst/>
                          </a:prstGeom>
                        </pic:spPr>
                      </pic:pic>
                    </a:graphicData>
                  </a:graphic>
                </wp:inline>
              </w:drawing>
            </w:r>
          </w:p>
          <w:p>
            <w:pPr>
              <w:widowControl/>
              <w:jc w:val="center"/>
              <w:rPr>
                <w:rFonts w:hint="eastAsia" w:ascii="仿宋" w:hAnsi="仿宋" w:eastAsia="仿宋" w:cs="仿宋"/>
                <w:color w:val="auto"/>
                <w:kern w:val="2"/>
                <w:sz w:val="21"/>
                <w:szCs w:val="21"/>
                <w:lang w:val="en-US" w:eastAsia="zh-CN" w:bidi="ar-SA"/>
              </w:rPr>
            </w:pPr>
            <w:r>
              <w:rPr>
                <w:rFonts w:hint="eastAsia" w:ascii="仿宋" w:hAnsi="仿宋" w:eastAsia="仿宋" w:cs="仿宋"/>
                <w:color w:val="auto"/>
                <w:sz w:val="21"/>
                <w:szCs w:val="21"/>
              </w:rPr>
              <w:t>母线提升框架夹具防脱装置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556" w:type="dxa"/>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12</w:t>
            </w:r>
          </w:p>
        </w:tc>
        <w:tc>
          <w:tcPr>
            <w:tcW w:w="1022" w:type="dxa"/>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有色金属压延加工</w:t>
            </w:r>
          </w:p>
        </w:tc>
        <w:tc>
          <w:tcPr>
            <w:tcW w:w="1871" w:type="dxa"/>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吊运卷材作业、翻卷作业、包装作业</w:t>
            </w:r>
          </w:p>
        </w:tc>
        <w:tc>
          <w:tcPr>
            <w:tcW w:w="1871" w:type="dxa"/>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1.铝卷掉落。</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2.操作人员违章作业。</w:t>
            </w:r>
          </w:p>
        </w:tc>
        <w:tc>
          <w:tcPr>
            <w:tcW w:w="2592" w:type="dxa"/>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1.吊运铝卷调整方向时使用专用工具、不得手扶吊物。</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2.翻卷区域设置护网，增加声光报警设施。</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3.包装吸附装置周围设置护栏，增加负压报警装置。</w:t>
            </w:r>
          </w:p>
        </w:tc>
        <w:tc>
          <w:tcPr>
            <w:tcW w:w="3309" w:type="dxa"/>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1.定期对操作人员进行安全操作技术规程培训和事故案例学习。</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2.劳保用品穿戴要求，佩戴安全帽、劳保手套、工作服。</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3.人员合理站位，远离冲击线。</w:t>
            </w:r>
          </w:p>
        </w:tc>
        <w:tc>
          <w:tcPr>
            <w:tcW w:w="3673" w:type="dxa"/>
            <w:shd w:val="clear" w:color="auto" w:fill="auto"/>
            <w:vAlign w:val="center"/>
          </w:tcPr>
          <w:p>
            <w:pPr>
              <w:widowControl/>
              <w:jc w:val="center"/>
              <w:rPr>
                <w:rFonts w:hint="eastAsia" w:ascii="仿宋" w:hAnsi="仿宋" w:eastAsia="仿宋" w:cs="仿宋"/>
                <w:color w:val="auto"/>
                <w:sz w:val="21"/>
                <w:szCs w:val="21"/>
              </w:rPr>
            </w:pPr>
            <w:r>
              <w:rPr>
                <w:rFonts w:hint="eastAsia" w:ascii="仿宋" w:hAnsi="仿宋" w:eastAsia="仿宋" w:cs="仿宋"/>
                <w:color w:val="auto"/>
                <w:sz w:val="21"/>
                <w:szCs w:val="21"/>
              </w:rPr>
              <mc:AlternateContent>
                <mc:Choice Requires="wps">
                  <w:drawing>
                    <wp:anchor distT="0" distB="0" distL="114300" distR="114300" simplePos="0" relativeHeight="251662336" behindDoc="0" locked="0" layoutInCell="1" allowOverlap="1">
                      <wp:simplePos x="0" y="0"/>
                      <wp:positionH relativeFrom="column">
                        <wp:posOffset>1055370</wp:posOffset>
                      </wp:positionH>
                      <wp:positionV relativeFrom="paragraph">
                        <wp:posOffset>636905</wp:posOffset>
                      </wp:positionV>
                      <wp:extent cx="417830" cy="211455"/>
                      <wp:effectExtent l="12065" t="36195" r="1905" b="44450"/>
                      <wp:wrapNone/>
                      <wp:docPr id="39" name="右箭头 39"/>
                      <wp:cNvGraphicFramePr/>
                      <a:graphic xmlns:a="http://schemas.openxmlformats.org/drawingml/2006/main">
                        <a:graphicData uri="http://schemas.microsoft.com/office/word/2010/wordprocessingShape">
                          <wps:wsp>
                            <wps:cNvSpPr/>
                            <wps:spPr>
                              <a:xfrm rot="1440000">
                                <a:off x="8866505" y="3743325"/>
                                <a:ext cx="417830" cy="211455"/>
                              </a:xfrm>
                              <a:prstGeom prst="right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3" type="#_x0000_t13" style="position:absolute;left:0pt;margin-left:83.1pt;margin-top:50.15pt;height:16.65pt;width:32.9pt;rotation:1572864f;z-index:251662336;v-text-anchor:middle;mso-width-relative:page;mso-height-relative:page;" fillcolor="#FF0000" filled="t" stroked="t" coordsize="21600,21600" o:gfxdata="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" adj="16135,5400">
                      <v:fill on="t" focussize="0,0"/>
                      <v:stroke weight="1pt" color="#FF0000 [3204]" miterlimit="8" joinstyle="miter"/>
                      <v:imagedata o:title=""/>
                      <o:lock v:ext="edit" aspectratio="f"/>
                    </v:shape>
                  </w:pict>
                </mc:Fallback>
              </mc:AlternateContent>
            </w:r>
            <w:r>
              <w:rPr>
                <w:rFonts w:hint="eastAsia" w:ascii="仿宋" w:hAnsi="仿宋" w:eastAsia="仿宋" w:cs="仿宋"/>
                <w:color w:val="auto"/>
                <w:sz w:val="21"/>
                <w:szCs w:val="21"/>
              </w:rPr>
              <w:drawing>
                <wp:inline distT="0" distB="0" distL="0" distR="0">
                  <wp:extent cx="2552065" cy="1771650"/>
                  <wp:effectExtent l="0" t="0" r="635" b="6350"/>
                  <wp:docPr id="37" name="图片 37" descr="C:\Users\0-25-037\AppData\Local\Temp\WeChat Files\054ea7051a89d57d5b460b70b1ef8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C:\Users\0-25-037\AppData\Local\Temp\WeChat Files\054ea7051a89d57d5b460b70b1ef865.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a:xfrm>
                            <a:off x="0" y="0"/>
                            <a:ext cx="2555358" cy="1773775"/>
                          </a:xfrm>
                          <a:prstGeom prst="rect">
                            <a:avLst/>
                          </a:prstGeom>
                          <a:noFill/>
                          <a:ln>
                            <a:noFill/>
                          </a:ln>
                        </pic:spPr>
                      </pic:pic>
                    </a:graphicData>
                  </a:graphic>
                </wp:inline>
              </w:drawing>
            </w:r>
          </w:p>
          <w:p>
            <w:pPr>
              <w:widowControl/>
              <w:jc w:val="center"/>
              <w:rPr>
                <w:rFonts w:hint="eastAsia" w:ascii="仿宋" w:hAnsi="仿宋" w:eastAsia="仿宋" w:cs="仿宋"/>
                <w:color w:val="auto"/>
                <w:kern w:val="2"/>
                <w:sz w:val="21"/>
                <w:szCs w:val="21"/>
                <w:lang w:val="en-US" w:eastAsia="zh-CN" w:bidi="ar-SA"/>
              </w:rPr>
            </w:pPr>
            <w:r>
              <w:rPr>
                <w:rFonts w:hint="eastAsia" w:ascii="仿宋" w:hAnsi="仿宋" w:eastAsia="仿宋" w:cs="仿宋"/>
                <w:color w:val="auto"/>
                <w:sz w:val="21"/>
                <w:szCs w:val="21"/>
              </w:rPr>
              <w:t>配备专用扶吊物工具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556" w:type="dxa"/>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13</w:t>
            </w:r>
          </w:p>
        </w:tc>
        <w:tc>
          <w:tcPr>
            <w:tcW w:w="1022" w:type="dxa"/>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有色金属合金制造</w:t>
            </w:r>
          </w:p>
        </w:tc>
        <w:tc>
          <w:tcPr>
            <w:tcW w:w="1871" w:type="dxa"/>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铝合金成品长棒码垛</w:t>
            </w:r>
          </w:p>
        </w:tc>
        <w:tc>
          <w:tcPr>
            <w:tcW w:w="1871" w:type="dxa"/>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铝合金成品长棒码垛较高时，单独使用方木作为垫木，存在压塌砸伤周围人员的风险。</w:t>
            </w:r>
          </w:p>
        </w:tc>
        <w:tc>
          <w:tcPr>
            <w:tcW w:w="2592" w:type="dxa"/>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铝合金成品长棒码垛较高时，使用方管（硬质）作为垫木，或方管和方木共用。</w:t>
            </w:r>
          </w:p>
        </w:tc>
        <w:tc>
          <w:tcPr>
            <w:tcW w:w="3309" w:type="dxa"/>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1.设置显著的安全警示标识。</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2.在堆垛现场画设警示标线。</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3.对于超高或显著倾翻风险的设施应立即进行整治。</w:t>
            </w:r>
          </w:p>
        </w:tc>
        <w:tc>
          <w:tcPr>
            <w:tcW w:w="3673" w:type="dxa"/>
            <w:shd w:val="clear" w:color="auto" w:fill="auto"/>
            <w:vAlign w:val="center"/>
          </w:tcPr>
          <w:p>
            <w:pPr>
              <w:widowControl/>
              <w:jc w:val="center"/>
              <w:rPr>
                <w:rFonts w:hint="eastAsia" w:ascii="仿宋" w:hAnsi="仿宋" w:eastAsia="仿宋" w:cs="仿宋"/>
                <w:color w:val="auto"/>
                <w:sz w:val="21"/>
                <w:szCs w:val="21"/>
              </w:rPr>
            </w:pPr>
            <w:r>
              <w:rPr>
                <w:rFonts w:hint="eastAsia" w:ascii="仿宋" w:hAnsi="仿宋" w:eastAsia="仿宋" w:cs="仿宋"/>
                <w:color w:val="auto"/>
                <w:sz w:val="21"/>
                <w:szCs w:val="21"/>
              </w:rPr>
              <w:object>
                <v:shape id="_x0000_i1034" o:spt="75" type="#_x0000_t75" style="height:105.3pt;width:129pt;" o:ole="t" filled="f" o:preferrelative="t" stroked="f" coordsize="21600,21600">
                  <v:path/>
                  <v:fill on="f" focussize="0,0"/>
                  <v:stroke on="f" joinstyle="miter"/>
                  <v:imagedata r:id="rId42" o:title=""/>
                  <o:lock v:ext="edit" aspectratio="t"/>
                  <w10:wrap type="none"/>
                  <w10:anchorlock/>
                </v:shape>
                <o:OLEObject Type="Embed" ProgID="PBrush" ShapeID="_x0000_i1034" DrawAspect="Content" ObjectID="_1468075734" r:id="rId41">
                  <o:LockedField>false</o:LockedField>
                </o:OLEObject>
              </w:object>
            </w:r>
          </w:p>
          <w:p>
            <w:pPr>
              <w:widowControl/>
              <w:jc w:val="center"/>
              <w:rPr>
                <w:rFonts w:hint="eastAsia" w:ascii="仿宋" w:hAnsi="仿宋" w:eastAsia="仿宋" w:cs="仿宋"/>
                <w:color w:val="auto"/>
                <w:sz w:val="21"/>
                <w:szCs w:val="21"/>
              </w:rPr>
            </w:pPr>
            <w:r>
              <w:rPr>
                <w:rFonts w:hint="eastAsia" w:ascii="仿宋" w:hAnsi="仿宋" w:eastAsia="仿宋" w:cs="仿宋"/>
                <w:color w:val="auto"/>
                <w:sz w:val="21"/>
                <w:szCs w:val="21"/>
              </w:rPr>
              <w:t>设置专用垛场及固定方木</w:t>
            </w:r>
          </w:p>
        </w:tc>
      </w:tr>
    </w:tbl>
    <w:p>
      <w:pPr>
        <w:rPr>
          <w:rFonts w:ascii="宋体" w:hAnsi="宋体" w:eastAsia="宋体"/>
          <w:color w:val="auto"/>
          <w:sz w:val="28"/>
          <w:szCs w:val="32"/>
        </w:rPr>
      </w:pPr>
    </w:p>
    <w:p>
      <w:pPr>
        <w:rPr>
          <w:rFonts w:ascii="宋体" w:hAnsi="宋体" w:eastAsia="宋体"/>
          <w:color w:val="auto"/>
          <w:sz w:val="28"/>
          <w:szCs w:val="32"/>
        </w:rPr>
      </w:pPr>
    </w:p>
    <w:p>
      <w:pPr>
        <w:rPr>
          <w:rFonts w:ascii="宋体" w:hAnsi="宋体" w:eastAsia="宋体"/>
          <w:color w:val="auto"/>
          <w:sz w:val="28"/>
          <w:szCs w:val="32"/>
        </w:rPr>
      </w:pPr>
      <w:r>
        <w:rPr>
          <w:rFonts w:ascii="宋体" w:hAnsi="宋体" w:eastAsia="宋体"/>
          <w:color w:val="auto"/>
          <w:sz w:val="28"/>
          <w:szCs w:val="32"/>
        </w:rPr>
        <w:br w:type="page"/>
      </w:r>
    </w:p>
    <w:p>
      <w:pPr>
        <w:rPr>
          <w:rFonts w:hint="eastAsia" w:ascii="楷体_GB2312" w:hAnsi="楷体_GB2312" w:eastAsia="楷体_GB2312" w:cs="楷体_GB2312"/>
          <w:color w:val="auto"/>
          <w:sz w:val="28"/>
          <w:szCs w:val="32"/>
        </w:rPr>
      </w:pPr>
      <w:r>
        <w:rPr>
          <w:rFonts w:hint="eastAsia" w:ascii="楷体_GB2312" w:hAnsi="楷体_GB2312" w:eastAsia="楷体_GB2312" w:cs="楷体_GB2312"/>
          <w:color w:val="auto"/>
          <w:sz w:val="28"/>
          <w:szCs w:val="32"/>
        </w:rPr>
        <w:t>4.建材行业典型物体打击事故管控措施</w:t>
      </w:r>
    </w:p>
    <w:tbl>
      <w:tblPr>
        <w:tblStyle w:val="4"/>
        <w:tblW w:w="1489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00"/>
        <w:gridCol w:w="1078"/>
        <w:gridCol w:w="1871"/>
        <w:gridCol w:w="1871"/>
        <w:gridCol w:w="2592"/>
        <w:gridCol w:w="3023"/>
        <w:gridCol w:w="395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500" w:type="dxa"/>
            <w:shd w:val="clear" w:color="auto" w:fill="auto"/>
            <w:vAlign w:val="center"/>
          </w:tcPr>
          <w:p>
            <w:pPr>
              <w:widowControl/>
              <w:jc w:val="center"/>
              <w:rPr>
                <w:rFonts w:hint="eastAsia" w:ascii="黑体" w:hAnsi="黑体" w:eastAsia="黑体" w:cs="黑体"/>
                <w:b w:val="0"/>
                <w:bCs w:val="0"/>
                <w:color w:val="auto"/>
                <w:sz w:val="21"/>
                <w:szCs w:val="21"/>
              </w:rPr>
            </w:pPr>
            <w:r>
              <w:rPr>
                <w:rFonts w:hint="eastAsia" w:ascii="黑体" w:hAnsi="黑体" w:eastAsia="黑体" w:cs="黑体"/>
                <w:b w:val="0"/>
                <w:bCs w:val="0"/>
                <w:color w:val="auto"/>
                <w:sz w:val="21"/>
                <w:szCs w:val="21"/>
              </w:rPr>
              <w:t>序号</w:t>
            </w:r>
          </w:p>
        </w:tc>
        <w:tc>
          <w:tcPr>
            <w:tcW w:w="1078" w:type="dxa"/>
            <w:shd w:val="clear" w:color="auto" w:fill="auto"/>
            <w:vAlign w:val="center"/>
          </w:tcPr>
          <w:p>
            <w:pPr>
              <w:widowControl/>
              <w:jc w:val="center"/>
              <w:rPr>
                <w:rFonts w:hint="eastAsia" w:ascii="黑体" w:hAnsi="黑体" w:eastAsia="黑体" w:cs="黑体"/>
                <w:b w:val="0"/>
                <w:bCs w:val="0"/>
                <w:color w:val="auto"/>
                <w:sz w:val="21"/>
                <w:szCs w:val="21"/>
              </w:rPr>
            </w:pPr>
            <w:r>
              <w:rPr>
                <w:rFonts w:hint="eastAsia" w:ascii="黑体" w:hAnsi="黑体" w:eastAsia="黑体" w:cs="黑体"/>
                <w:b w:val="0"/>
                <w:bCs w:val="0"/>
                <w:color w:val="auto"/>
                <w:sz w:val="21"/>
                <w:szCs w:val="21"/>
              </w:rPr>
              <w:t>中类行业名称</w:t>
            </w:r>
          </w:p>
        </w:tc>
        <w:tc>
          <w:tcPr>
            <w:tcW w:w="1871" w:type="dxa"/>
            <w:shd w:val="clear" w:color="auto" w:fill="auto"/>
            <w:vAlign w:val="center"/>
          </w:tcPr>
          <w:p>
            <w:pPr>
              <w:widowControl/>
              <w:jc w:val="center"/>
              <w:rPr>
                <w:rFonts w:hint="eastAsia" w:ascii="黑体" w:hAnsi="黑体" w:eastAsia="黑体" w:cs="黑体"/>
                <w:b w:val="0"/>
                <w:bCs w:val="0"/>
                <w:color w:val="auto"/>
                <w:sz w:val="21"/>
                <w:szCs w:val="21"/>
              </w:rPr>
            </w:pPr>
            <w:r>
              <w:rPr>
                <w:rFonts w:hint="eastAsia" w:ascii="黑体" w:hAnsi="黑体" w:eastAsia="黑体" w:cs="黑体"/>
                <w:b w:val="0"/>
                <w:bCs w:val="0"/>
                <w:color w:val="auto"/>
                <w:sz w:val="21"/>
                <w:szCs w:val="21"/>
              </w:rPr>
              <w:t>典型设备设施或作业活动举例</w:t>
            </w:r>
          </w:p>
        </w:tc>
        <w:tc>
          <w:tcPr>
            <w:tcW w:w="1871" w:type="dxa"/>
            <w:shd w:val="clear" w:color="auto" w:fill="auto"/>
            <w:vAlign w:val="center"/>
          </w:tcPr>
          <w:p>
            <w:pPr>
              <w:widowControl/>
              <w:jc w:val="center"/>
              <w:rPr>
                <w:rFonts w:hint="eastAsia" w:ascii="黑体" w:hAnsi="黑体" w:eastAsia="黑体" w:cs="黑体"/>
                <w:b w:val="0"/>
                <w:bCs w:val="0"/>
                <w:color w:val="auto"/>
                <w:sz w:val="21"/>
                <w:szCs w:val="21"/>
              </w:rPr>
            </w:pPr>
            <w:r>
              <w:rPr>
                <w:rFonts w:hint="eastAsia" w:ascii="黑体" w:hAnsi="黑体" w:eastAsia="黑体" w:cs="黑体"/>
                <w:b w:val="0"/>
                <w:bCs w:val="0"/>
                <w:color w:val="auto"/>
                <w:sz w:val="21"/>
                <w:szCs w:val="21"/>
              </w:rPr>
              <w:t>事故原因</w:t>
            </w:r>
          </w:p>
        </w:tc>
        <w:tc>
          <w:tcPr>
            <w:tcW w:w="2592" w:type="dxa"/>
            <w:shd w:val="clear" w:color="auto" w:fill="auto"/>
            <w:vAlign w:val="center"/>
          </w:tcPr>
          <w:p>
            <w:pPr>
              <w:widowControl/>
              <w:jc w:val="center"/>
              <w:rPr>
                <w:rFonts w:hint="eastAsia" w:ascii="黑体" w:hAnsi="黑体" w:eastAsia="黑体" w:cs="黑体"/>
                <w:b w:val="0"/>
                <w:bCs w:val="0"/>
                <w:color w:val="auto"/>
                <w:sz w:val="21"/>
                <w:szCs w:val="21"/>
              </w:rPr>
            </w:pPr>
            <w:r>
              <w:rPr>
                <w:rFonts w:hint="eastAsia" w:ascii="黑体" w:hAnsi="黑体" w:eastAsia="黑体" w:cs="黑体"/>
                <w:b w:val="0"/>
                <w:bCs w:val="0"/>
                <w:color w:val="auto"/>
                <w:sz w:val="21"/>
                <w:szCs w:val="21"/>
              </w:rPr>
              <w:t>典型工程技术措施</w:t>
            </w:r>
          </w:p>
        </w:tc>
        <w:tc>
          <w:tcPr>
            <w:tcW w:w="3023" w:type="dxa"/>
            <w:shd w:val="clear" w:color="auto" w:fill="auto"/>
            <w:vAlign w:val="center"/>
          </w:tcPr>
          <w:p>
            <w:pPr>
              <w:widowControl/>
              <w:jc w:val="center"/>
              <w:rPr>
                <w:rFonts w:hint="eastAsia" w:ascii="黑体" w:hAnsi="黑体" w:eastAsia="黑体" w:cs="黑体"/>
                <w:b w:val="0"/>
                <w:bCs w:val="0"/>
                <w:color w:val="auto"/>
                <w:sz w:val="21"/>
                <w:szCs w:val="21"/>
              </w:rPr>
            </w:pPr>
            <w:r>
              <w:rPr>
                <w:rFonts w:hint="eastAsia" w:ascii="黑体" w:hAnsi="黑体" w:eastAsia="黑体" w:cs="黑体"/>
                <w:b w:val="0"/>
                <w:bCs w:val="0"/>
                <w:color w:val="auto"/>
                <w:sz w:val="21"/>
                <w:szCs w:val="21"/>
              </w:rPr>
              <w:t>典型的管理措施</w:t>
            </w:r>
          </w:p>
        </w:tc>
        <w:tc>
          <w:tcPr>
            <w:tcW w:w="3959" w:type="dxa"/>
            <w:shd w:val="clear" w:color="auto" w:fill="auto"/>
            <w:vAlign w:val="center"/>
          </w:tcPr>
          <w:p>
            <w:pPr>
              <w:widowControl/>
              <w:jc w:val="center"/>
              <w:rPr>
                <w:rFonts w:hint="eastAsia" w:ascii="黑体" w:hAnsi="黑体" w:eastAsia="黑体" w:cs="黑体"/>
                <w:b w:val="0"/>
                <w:bCs w:val="0"/>
                <w:color w:val="auto"/>
                <w:sz w:val="21"/>
                <w:szCs w:val="21"/>
              </w:rPr>
            </w:pPr>
            <w:r>
              <w:rPr>
                <w:rFonts w:hint="eastAsia" w:ascii="黑体" w:hAnsi="黑体" w:eastAsia="黑体" w:cs="黑体"/>
                <w:b w:val="0"/>
                <w:bCs w:val="0"/>
                <w:color w:val="auto"/>
                <w:sz w:val="21"/>
                <w:szCs w:val="21"/>
              </w:rPr>
              <w:t>好的做法示例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500" w:type="dxa"/>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1</w:t>
            </w:r>
          </w:p>
        </w:tc>
        <w:tc>
          <w:tcPr>
            <w:tcW w:w="1078" w:type="dxa"/>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水泥、石灰和石膏制造；玻璃制造、建筑卫生陶瓷制造、耐火材料制造、砖瓦石材等建筑材料制造、石膏板制造</w:t>
            </w:r>
          </w:p>
        </w:tc>
        <w:tc>
          <w:tcPr>
            <w:tcW w:w="1871" w:type="dxa"/>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存在高处落差的区域（工业梯台、高层建筑、分解炉、回转窑、篦冷机等）</w:t>
            </w:r>
          </w:p>
        </w:tc>
        <w:tc>
          <w:tcPr>
            <w:tcW w:w="1871" w:type="dxa"/>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1.高处非固定物件掉落伤人。</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2.作业时物料掉落或乱扔工器具、杂物。</w:t>
            </w:r>
          </w:p>
        </w:tc>
        <w:tc>
          <w:tcPr>
            <w:tcW w:w="2592" w:type="dxa"/>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1.工作平台外侧应按照要求设置护栏、踢脚板。</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2.划定作业区域并设置警戒隔离措施，防止无关人员进入。</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3.分解炉、回转窑、篦冷机内部作业时应锁紧下料翻板阀，并应关闭空气炮，作业过程中，应密切关注窑内耐火砖、窑皮有无松垮现象再缓慢向内推进。</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4.安全通道上方应搭设防护设施，防护设施使用的材料要能防止高空坠落物穿透。</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5.脚手架钢管、扣件选用及架体搭设、负荷应符合要求。</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6.涉及环保脱硝的企业应通过测厚探伤定期观测环保脱硝工艺对设备管道构件腐蚀情况，做好补强工作。</w:t>
            </w:r>
          </w:p>
        </w:tc>
        <w:tc>
          <w:tcPr>
            <w:tcW w:w="3023" w:type="dxa"/>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1.设备检维修作业必须严格落实作业分级审批许可手续，作业过程应有专人监护，确保作业过程能量意外释放风险可控。</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2.大风天气前应检查高层建筑是否有遗留未固定杂物、待脱落保温层等存在掉落可能物件并及时处理，大风天气避免室外作业。</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3.涉及分解炉、烟室、回转窑、篦冷机等存在浇注料、耐火砖等介质的内部作业，作业前必须检查确认无遗留松脱的结皮、浇注料、耐火砖。</w:t>
            </w:r>
          </w:p>
        </w:tc>
        <w:tc>
          <w:tcPr>
            <w:tcW w:w="3959" w:type="dxa"/>
            <w:shd w:val="clear" w:color="auto" w:fill="auto"/>
            <w:vAlign w:val="center"/>
          </w:tcPr>
          <w:p>
            <w:pPr>
              <w:widowControl/>
              <w:jc w:val="center"/>
              <w:rPr>
                <w:rFonts w:hint="eastAsia" w:ascii="仿宋" w:hAnsi="仿宋" w:eastAsia="仿宋" w:cs="仿宋"/>
                <w:color w:val="auto"/>
                <w:sz w:val="21"/>
                <w:szCs w:val="21"/>
              </w:rPr>
            </w:pPr>
            <w:r>
              <w:rPr>
                <w:rFonts w:hint="eastAsia" w:ascii="仿宋" w:hAnsi="仿宋" w:eastAsia="仿宋" w:cs="仿宋"/>
                <w:color w:val="auto"/>
                <w:sz w:val="21"/>
                <w:szCs w:val="21"/>
              </w:rPr>
              <w:object>
                <v:shape id="_x0000_i1035" o:spt="75" type="#_x0000_t75" style="height:293.4pt;width:173.55pt;" o:ole="t" filled="f" o:preferrelative="t" stroked="f" coordsize="21600,21600">
                  <v:path/>
                  <v:fill on="f" focussize="0,0"/>
                  <v:stroke on="f" joinstyle="miter"/>
                  <v:imagedata r:id="rId44" o:title=""/>
                  <o:lock v:ext="edit" aspectratio="t"/>
                  <w10:wrap type="none"/>
                  <w10:anchorlock/>
                </v:shape>
                <o:OLEObject Type="Embed" ProgID="PBrush" ShapeID="_x0000_i1035" DrawAspect="Content" ObjectID="_1468075735" r:id="rId43">
                  <o:LockedField>false</o:LockedField>
                </o:OLEObject>
              </w:objec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500" w:type="dxa"/>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2</w:t>
            </w:r>
          </w:p>
        </w:tc>
        <w:tc>
          <w:tcPr>
            <w:tcW w:w="1078" w:type="dxa"/>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水泥、石灰和石膏制造；玻璃制造、建筑卫生陶瓷制造、耐火材料制造、石膏板制造</w:t>
            </w:r>
          </w:p>
        </w:tc>
        <w:tc>
          <w:tcPr>
            <w:tcW w:w="1871" w:type="dxa"/>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破碎设备、粉磨设备、预热器、回转窑、篦冷机、碎玻璃入料仓口等存在物件飞出伤人的设备、设施。</w:t>
            </w:r>
          </w:p>
        </w:tc>
        <w:tc>
          <w:tcPr>
            <w:tcW w:w="1871" w:type="dxa"/>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1.使用工器具敲打耐磨板材致使铁屑、碎铁块飞出伤人。</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2.运转设备壳体破损或检修人孔门松脱，内容物或表面螺栓、破损法兰飞出伤人。</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3.破碎机内部作业前未清理机口残留石块。</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4.未按要求配备、穿戴个人防护用品。</w:t>
            </w:r>
          </w:p>
        </w:tc>
        <w:tc>
          <w:tcPr>
            <w:tcW w:w="2592" w:type="dxa"/>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1.设备传动装置的旋转件外露部分应配置防护罩或防护网等安全防护装置，露出的轴承应加护盖。</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2.磨机、回转窑辅传抱闸应安装质地可靠的防护罩，防止抱闸崩脱伤人。</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3.设备上的螺钉、螺母和销钉等连接件均应采取可靠的防松措施。</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4.操作使用的机器设备，必须符合质量要求，带病设备未修复达标前严禁使用；排除设备故障或清理物料前必须停机。</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5.在使用电钻、电锤时采取固定防范措施，砂轮机等手持工具必须可靠，砂轮片、钻头等需固定牢固，如发现砂轮有裂纹或其他损伤严禁使用。</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6.碎玻璃入料仓口应设置防碎玻璃飞溅的安全护板。</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7.破碎设备周围应设置防物件飞出的防护装置。</w:t>
            </w:r>
          </w:p>
        </w:tc>
        <w:tc>
          <w:tcPr>
            <w:tcW w:w="3023" w:type="dxa"/>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1.设备检维修作业必须严格落实作业分级审批许可手续，作业过程应有专人监护，确保作业过程能量意外释放风险可控。</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2.破碎机内部作业前清理机口残留石块。</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3.检查预热器各级翻板阀时应确保重锤安装牢固。</w:t>
            </w:r>
          </w:p>
        </w:tc>
        <w:tc>
          <w:tcPr>
            <w:tcW w:w="3959" w:type="dxa"/>
            <w:shd w:val="clear" w:color="auto" w:fill="auto"/>
            <w:vAlign w:val="center"/>
          </w:tcPr>
          <w:p>
            <w:pPr>
              <w:widowControl/>
              <w:jc w:val="center"/>
              <w:rPr>
                <w:rFonts w:hint="eastAsia" w:ascii="仿宋" w:hAnsi="仿宋" w:eastAsia="仿宋" w:cs="仿宋"/>
                <w:color w:val="auto"/>
                <w:sz w:val="21"/>
                <w:szCs w:val="21"/>
              </w:rPr>
            </w:pPr>
            <w:r>
              <w:rPr>
                <w:rFonts w:hint="eastAsia" w:ascii="仿宋" w:hAnsi="仿宋" w:eastAsia="仿宋" w:cs="仿宋"/>
                <w:color w:val="auto"/>
                <w:sz w:val="21"/>
                <w:szCs w:val="21"/>
              </w:rPr>
              <w:object>
                <v:shape id="_x0000_i1036" o:spt="75" type="#_x0000_t75" style="height:295.5pt;width:175.2pt;" o:ole="t" filled="f" o:preferrelative="t" stroked="f" coordsize="21600,21600">
                  <v:path/>
                  <v:fill on="f" focussize="0,0"/>
                  <v:stroke on="f" joinstyle="miter"/>
                  <v:imagedata r:id="rId46" o:title=""/>
                  <o:lock v:ext="edit" aspectratio="t"/>
                  <w10:wrap type="none"/>
                  <w10:anchorlock/>
                </v:shape>
                <o:OLEObject Type="Embed" ProgID="PBrush" ShapeID="_x0000_i1036" DrawAspect="Content" ObjectID="_1468075736" r:id="rId45">
                  <o:LockedField>false</o:LockedField>
                </o:OLEObject>
              </w:objec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500" w:type="dxa"/>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3</w:t>
            </w:r>
          </w:p>
        </w:tc>
        <w:tc>
          <w:tcPr>
            <w:tcW w:w="1078" w:type="dxa"/>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水泥、石灰和石膏制造；玻璃制造、建筑卫生陶瓷制造、耐火材料制造、石膏板制造</w:t>
            </w:r>
          </w:p>
        </w:tc>
        <w:tc>
          <w:tcPr>
            <w:tcW w:w="1871" w:type="dxa"/>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气动软管、物料泵送管道、高压水枪。</w:t>
            </w:r>
          </w:p>
        </w:tc>
        <w:tc>
          <w:tcPr>
            <w:tcW w:w="1871" w:type="dxa"/>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承压管道松脱造成冲击伤害。</w:t>
            </w:r>
          </w:p>
        </w:tc>
        <w:tc>
          <w:tcPr>
            <w:tcW w:w="2592" w:type="dxa"/>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1.所有气动软管、高压水管、物料泵送管道均需使用可靠的固定防脱装置。</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2.管道压力不应超过设定的工作压力。</w:t>
            </w:r>
          </w:p>
        </w:tc>
        <w:tc>
          <w:tcPr>
            <w:tcW w:w="3023" w:type="dxa"/>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1.定期检查气动软管、高压水管，出现老化、龟裂应及时更换，更换前应确认压力已释放。</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2.物料泵送作业应划定泵车停放区域，设定安全范围，设置安全告知及操作规程，作业过程禁止人员靠近；罐车司机打开物料罐上部时应确认罐内压力已释放。</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3.作业前应先将高压水枪插入清料门，后开启水泵，清料后应先停水泵，再抽水枪。</w:t>
            </w:r>
          </w:p>
        </w:tc>
        <w:tc>
          <w:tcPr>
            <w:tcW w:w="3959" w:type="dxa"/>
            <w:shd w:val="clear" w:color="auto" w:fill="auto"/>
            <w:vAlign w:val="center"/>
          </w:tcPr>
          <w:p>
            <w:pPr>
              <w:widowControl/>
              <w:jc w:val="center"/>
              <w:rPr>
                <w:rFonts w:hint="eastAsia" w:ascii="仿宋" w:hAnsi="仿宋" w:eastAsia="仿宋" w:cs="仿宋"/>
                <w:color w:val="auto"/>
                <w:sz w:val="21"/>
                <w:szCs w:val="21"/>
              </w:rPr>
            </w:pPr>
            <w:r>
              <w:rPr>
                <w:rFonts w:hint="eastAsia" w:ascii="仿宋" w:hAnsi="仿宋" w:eastAsia="仿宋" w:cs="仿宋"/>
                <w:color w:val="auto"/>
                <w:sz w:val="21"/>
                <w:szCs w:val="21"/>
              </w:rPr>
              <w:object>
                <v:shape id="_x0000_i1037" o:spt="75" type="#_x0000_t75" style="height:278.85pt;width:183.1pt;" o:ole="t" filled="f" o:preferrelative="t" stroked="f" coordsize="21600,21600">
                  <v:path/>
                  <v:fill on="f" focussize="0,0"/>
                  <v:stroke on="f" joinstyle="miter"/>
                  <v:imagedata r:id="rId48" o:title=""/>
                  <o:lock v:ext="edit" aspectratio="t"/>
                  <w10:wrap type="none"/>
                  <w10:anchorlock/>
                </v:shape>
                <o:OLEObject Type="Embed" ProgID="PBrush" ShapeID="_x0000_i1037" DrawAspect="Content" ObjectID="_1468075737" r:id="rId47">
                  <o:LockedField>false</o:LockedField>
                </o:OLEObject>
              </w:objec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500" w:type="dxa"/>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4</w:t>
            </w:r>
          </w:p>
        </w:tc>
        <w:tc>
          <w:tcPr>
            <w:tcW w:w="1078" w:type="dxa"/>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水泥、石灰和石膏制造</w:t>
            </w:r>
          </w:p>
        </w:tc>
        <w:tc>
          <w:tcPr>
            <w:tcW w:w="1871" w:type="dxa"/>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筒型库清库作业</w:t>
            </w:r>
          </w:p>
        </w:tc>
        <w:tc>
          <w:tcPr>
            <w:tcW w:w="1871" w:type="dxa"/>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库内物料潮湿板结，未清理筒型库侧挂壁料的情况下人员进入库内作业。</w:t>
            </w:r>
          </w:p>
        </w:tc>
        <w:tc>
          <w:tcPr>
            <w:tcW w:w="2592" w:type="dxa"/>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1.应选好、系好安全带、安全绳。</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2.应确认爬梯牢固可靠；自上而下清理。</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3.应保持足够照明。</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4.应选好安全绳固定点。</w:t>
            </w:r>
          </w:p>
        </w:tc>
        <w:tc>
          <w:tcPr>
            <w:tcW w:w="3023" w:type="dxa"/>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1.水泥工厂筒型储存库人工清库作业承包方应具备高空作业工程专业承包资质。</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2.清库作业前应进行风险分析并按照清库安全规程要求制定作业方案、危险作业分级审批，落实安全措施。</w:t>
            </w:r>
          </w:p>
        </w:tc>
        <w:tc>
          <w:tcPr>
            <w:tcW w:w="3959" w:type="dxa"/>
            <w:shd w:val="clear" w:color="auto" w:fill="auto"/>
            <w:vAlign w:val="center"/>
          </w:tcPr>
          <w:p>
            <w:pPr>
              <w:widowControl/>
              <w:jc w:val="center"/>
              <w:rPr>
                <w:rFonts w:hint="eastAsia" w:ascii="仿宋" w:hAnsi="仿宋" w:eastAsia="仿宋" w:cs="仿宋"/>
                <w:color w:val="auto"/>
                <w:sz w:val="21"/>
                <w:szCs w:val="21"/>
              </w:rPr>
            </w:pPr>
            <w:r>
              <w:rPr>
                <w:rFonts w:hint="eastAsia" w:ascii="仿宋" w:hAnsi="仿宋" w:eastAsia="仿宋" w:cs="仿宋"/>
                <w:color w:val="auto"/>
                <w:sz w:val="21"/>
                <w:szCs w:val="21"/>
              </w:rPr>
              <w:object>
                <v:shape id="_x0000_i1038" o:spt="75" alt="" type="#_x0000_t75" style="height:222.65pt;width:154.4pt;" o:ole="t" filled="f" o:preferrelative="t" stroked="f" coordsize="21600,21600">
                  <v:path/>
                  <v:fill on="f" focussize="0,0"/>
                  <v:stroke on="f"/>
                  <v:imagedata r:id="rId50" o:title=""/>
                  <o:lock v:ext="edit" aspectratio="t"/>
                  <w10:wrap type="none"/>
                  <w10:anchorlock/>
                </v:shape>
                <o:OLEObject Type="Embed" ProgID="PBrush" ShapeID="_x0000_i1038" DrawAspect="Content" ObjectID="_1468075738" r:id="rId49">
                  <o:LockedField>false</o:LockedField>
                </o:OLEObject>
              </w:object>
            </w:r>
          </w:p>
        </w:tc>
      </w:tr>
    </w:tbl>
    <w:p>
      <w:pPr>
        <w:rPr>
          <w:rFonts w:hint="eastAsia" w:ascii="宋体" w:hAnsi="宋体" w:eastAsia="宋体"/>
          <w:color w:val="auto"/>
          <w:sz w:val="28"/>
          <w:szCs w:val="32"/>
          <w:lang w:val="en-US" w:eastAsia="zh-CN"/>
        </w:rPr>
      </w:pPr>
    </w:p>
    <w:p>
      <w:pPr>
        <w:rPr>
          <w:rFonts w:hint="eastAsia" w:ascii="宋体" w:hAnsi="宋体" w:eastAsia="宋体"/>
          <w:color w:val="auto"/>
          <w:sz w:val="28"/>
          <w:szCs w:val="32"/>
          <w:lang w:val="en-US" w:eastAsia="zh-CN"/>
        </w:rPr>
      </w:pPr>
    </w:p>
    <w:p>
      <w:pPr>
        <w:rPr>
          <w:rFonts w:hint="eastAsia" w:ascii="宋体" w:hAnsi="宋体" w:eastAsia="宋体"/>
          <w:color w:val="auto"/>
          <w:sz w:val="28"/>
          <w:szCs w:val="32"/>
          <w:lang w:val="en-US" w:eastAsia="zh-CN"/>
        </w:rPr>
      </w:pPr>
      <w:r>
        <w:rPr>
          <w:rFonts w:hint="eastAsia" w:ascii="宋体" w:hAnsi="宋体" w:eastAsia="宋体"/>
          <w:color w:val="auto"/>
          <w:sz w:val="28"/>
          <w:szCs w:val="32"/>
          <w:lang w:val="en-US" w:eastAsia="zh-CN"/>
        </w:rPr>
        <w:br w:type="page"/>
      </w:r>
    </w:p>
    <w:p>
      <w:pPr>
        <w:rPr>
          <w:rFonts w:hint="eastAsia" w:ascii="楷体_GB2312" w:hAnsi="楷体_GB2312" w:eastAsia="楷体_GB2312" w:cs="楷体_GB2312"/>
          <w:color w:val="auto"/>
          <w:sz w:val="28"/>
          <w:szCs w:val="32"/>
        </w:rPr>
      </w:pPr>
      <w:r>
        <w:rPr>
          <w:rFonts w:hint="eastAsia" w:ascii="楷体_GB2312" w:hAnsi="楷体_GB2312" w:eastAsia="楷体_GB2312" w:cs="楷体_GB2312"/>
          <w:color w:val="auto"/>
          <w:sz w:val="28"/>
          <w:szCs w:val="32"/>
          <w:lang w:val="en-US" w:eastAsia="zh-CN"/>
        </w:rPr>
        <w:t>5</w:t>
      </w:r>
      <w:r>
        <w:rPr>
          <w:rFonts w:hint="eastAsia" w:ascii="楷体_GB2312" w:hAnsi="楷体_GB2312" w:eastAsia="楷体_GB2312" w:cs="楷体_GB2312"/>
          <w:color w:val="auto"/>
          <w:sz w:val="28"/>
          <w:szCs w:val="32"/>
        </w:rPr>
        <w:t>.机械行业典型物体打击事故管控措施</w:t>
      </w:r>
    </w:p>
    <w:tbl>
      <w:tblPr>
        <w:tblStyle w:val="4"/>
        <w:tblW w:w="1489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57"/>
        <w:gridCol w:w="1022"/>
        <w:gridCol w:w="1871"/>
        <w:gridCol w:w="1871"/>
        <w:gridCol w:w="2592"/>
        <w:gridCol w:w="3021"/>
        <w:gridCol w:w="396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557" w:type="dxa"/>
            <w:shd w:val="clear" w:color="auto" w:fill="auto"/>
            <w:vAlign w:val="center"/>
          </w:tcPr>
          <w:p>
            <w:pPr>
              <w:widowControl/>
              <w:jc w:val="center"/>
              <w:rPr>
                <w:rFonts w:hint="eastAsia" w:ascii="黑体" w:hAnsi="黑体" w:eastAsia="黑体" w:cs="黑体"/>
                <w:color w:val="auto"/>
                <w:sz w:val="21"/>
                <w:szCs w:val="21"/>
              </w:rPr>
            </w:pPr>
            <w:r>
              <w:rPr>
                <w:rFonts w:hint="eastAsia" w:ascii="黑体" w:hAnsi="黑体" w:eastAsia="黑体" w:cs="黑体"/>
                <w:color w:val="auto"/>
                <w:sz w:val="21"/>
                <w:szCs w:val="21"/>
              </w:rPr>
              <w:t>序号</w:t>
            </w:r>
          </w:p>
        </w:tc>
        <w:tc>
          <w:tcPr>
            <w:tcW w:w="1022" w:type="dxa"/>
            <w:shd w:val="clear" w:color="auto" w:fill="auto"/>
            <w:vAlign w:val="center"/>
          </w:tcPr>
          <w:p>
            <w:pPr>
              <w:widowControl/>
              <w:jc w:val="center"/>
              <w:rPr>
                <w:rFonts w:hint="eastAsia" w:ascii="黑体" w:hAnsi="黑体" w:eastAsia="黑体" w:cs="黑体"/>
                <w:color w:val="auto"/>
                <w:sz w:val="21"/>
                <w:szCs w:val="21"/>
              </w:rPr>
            </w:pPr>
            <w:r>
              <w:rPr>
                <w:rFonts w:hint="eastAsia" w:ascii="黑体" w:hAnsi="黑体" w:eastAsia="黑体" w:cs="黑体"/>
                <w:color w:val="auto"/>
                <w:sz w:val="21"/>
                <w:szCs w:val="21"/>
              </w:rPr>
              <w:t>中类行业名称</w:t>
            </w:r>
          </w:p>
        </w:tc>
        <w:tc>
          <w:tcPr>
            <w:tcW w:w="1871" w:type="dxa"/>
            <w:shd w:val="clear" w:color="auto" w:fill="auto"/>
            <w:vAlign w:val="center"/>
          </w:tcPr>
          <w:p>
            <w:pPr>
              <w:widowControl/>
              <w:jc w:val="center"/>
              <w:rPr>
                <w:rFonts w:hint="eastAsia" w:ascii="黑体" w:hAnsi="黑体" w:eastAsia="黑体" w:cs="黑体"/>
                <w:color w:val="auto"/>
                <w:sz w:val="21"/>
                <w:szCs w:val="21"/>
              </w:rPr>
            </w:pPr>
            <w:r>
              <w:rPr>
                <w:rFonts w:hint="eastAsia" w:ascii="黑体" w:hAnsi="黑体" w:eastAsia="黑体" w:cs="黑体"/>
                <w:color w:val="auto"/>
                <w:sz w:val="21"/>
                <w:szCs w:val="21"/>
              </w:rPr>
              <w:t>典型设备设施或作业活动举例</w:t>
            </w:r>
          </w:p>
        </w:tc>
        <w:tc>
          <w:tcPr>
            <w:tcW w:w="1871" w:type="dxa"/>
            <w:shd w:val="clear" w:color="auto" w:fill="auto"/>
            <w:vAlign w:val="center"/>
          </w:tcPr>
          <w:p>
            <w:pPr>
              <w:widowControl/>
              <w:jc w:val="center"/>
              <w:rPr>
                <w:rFonts w:hint="eastAsia" w:ascii="黑体" w:hAnsi="黑体" w:eastAsia="黑体" w:cs="黑体"/>
                <w:color w:val="auto"/>
                <w:sz w:val="21"/>
                <w:szCs w:val="21"/>
              </w:rPr>
            </w:pPr>
            <w:r>
              <w:rPr>
                <w:rFonts w:hint="eastAsia" w:ascii="黑体" w:hAnsi="黑体" w:eastAsia="黑体" w:cs="黑体"/>
                <w:color w:val="auto"/>
                <w:sz w:val="21"/>
                <w:szCs w:val="21"/>
              </w:rPr>
              <w:t>事故原因</w:t>
            </w:r>
          </w:p>
        </w:tc>
        <w:tc>
          <w:tcPr>
            <w:tcW w:w="2592" w:type="dxa"/>
            <w:shd w:val="clear" w:color="auto" w:fill="auto"/>
            <w:vAlign w:val="center"/>
          </w:tcPr>
          <w:p>
            <w:pPr>
              <w:widowControl/>
              <w:jc w:val="center"/>
              <w:rPr>
                <w:rFonts w:hint="eastAsia" w:ascii="黑体" w:hAnsi="黑体" w:eastAsia="黑体" w:cs="黑体"/>
                <w:color w:val="auto"/>
                <w:sz w:val="21"/>
                <w:szCs w:val="21"/>
              </w:rPr>
            </w:pPr>
            <w:r>
              <w:rPr>
                <w:rFonts w:hint="eastAsia" w:ascii="黑体" w:hAnsi="黑体" w:eastAsia="黑体" w:cs="黑体"/>
                <w:color w:val="auto"/>
                <w:sz w:val="21"/>
                <w:szCs w:val="21"/>
              </w:rPr>
              <w:t>典型工程技术措施</w:t>
            </w:r>
          </w:p>
        </w:tc>
        <w:tc>
          <w:tcPr>
            <w:tcW w:w="3021" w:type="dxa"/>
            <w:shd w:val="clear" w:color="auto" w:fill="auto"/>
            <w:vAlign w:val="center"/>
          </w:tcPr>
          <w:p>
            <w:pPr>
              <w:widowControl/>
              <w:jc w:val="center"/>
              <w:rPr>
                <w:rFonts w:hint="eastAsia" w:ascii="黑体" w:hAnsi="黑体" w:eastAsia="黑体" w:cs="黑体"/>
                <w:color w:val="auto"/>
                <w:sz w:val="21"/>
                <w:szCs w:val="21"/>
              </w:rPr>
            </w:pPr>
            <w:r>
              <w:rPr>
                <w:rFonts w:hint="eastAsia" w:ascii="黑体" w:hAnsi="黑体" w:eastAsia="黑体" w:cs="黑体"/>
                <w:color w:val="auto"/>
                <w:sz w:val="21"/>
                <w:szCs w:val="21"/>
              </w:rPr>
              <w:t>典型的管理措施</w:t>
            </w:r>
          </w:p>
        </w:tc>
        <w:tc>
          <w:tcPr>
            <w:tcW w:w="3960" w:type="dxa"/>
            <w:shd w:val="clear" w:color="auto" w:fill="auto"/>
            <w:vAlign w:val="center"/>
          </w:tcPr>
          <w:p>
            <w:pPr>
              <w:widowControl/>
              <w:jc w:val="center"/>
              <w:rPr>
                <w:rFonts w:hint="eastAsia" w:ascii="黑体" w:hAnsi="黑体" w:eastAsia="黑体" w:cs="黑体"/>
                <w:color w:val="auto"/>
                <w:sz w:val="21"/>
                <w:szCs w:val="21"/>
              </w:rPr>
            </w:pPr>
            <w:r>
              <w:rPr>
                <w:rFonts w:hint="eastAsia" w:ascii="黑体" w:hAnsi="黑体" w:eastAsia="黑体" w:cs="黑体"/>
                <w:color w:val="auto"/>
                <w:sz w:val="21"/>
                <w:szCs w:val="21"/>
              </w:rPr>
              <w:t>好的做法示例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557" w:type="dxa"/>
            <w:shd w:val="clear" w:color="auto" w:fill="auto"/>
            <w:vAlign w:val="center"/>
          </w:tcPr>
          <w:p>
            <w:pPr>
              <w:widowControl/>
              <w:jc w:val="center"/>
              <w:rPr>
                <w:rFonts w:hint="eastAsia" w:ascii="仿宋" w:hAnsi="仿宋" w:eastAsia="仿宋" w:cs="仿宋"/>
                <w:color w:val="auto"/>
                <w:sz w:val="21"/>
                <w:szCs w:val="21"/>
              </w:rPr>
            </w:pPr>
            <w:r>
              <w:rPr>
                <w:rFonts w:hint="eastAsia" w:ascii="仿宋" w:hAnsi="仿宋" w:eastAsia="仿宋" w:cs="仿宋"/>
                <w:color w:val="auto"/>
                <w:sz w:val="21"/>
                <w:szCs w:val="21"/>
              </w:rPr>
              <w:t>1</w:t>
            </w:r>
          </w:p>
        </w:tc>
        <w:tc>
          <w:tcPr>
            <w:tcW w:w="1022" w:type="dxa"/>
            <w:shd w:val="clear" w:color="auto" w:fill="auto"/>
            <w:vAlign w:val="center"/>
          </w:tcPr>
          <w:p>
            <w:pPr>
              <w:widowControl/>
              <w:jc w:val="center"/>
              <w:rPr>
                <w:rFonts w:hint="eastAsia" w:ascii="仿宋" w:hAnsi="仿宋" w:eastAsia="仿宋" w:cs="仿宋"/>
                <w:color w:val="auto"/>
                <w:sz w:val="21"/>
                <w:szCs w:val="21"/>
              </w:rPr>
            </w:pPr>
            <w:r>
              <w:rPr>
                <w:rFonts w:hint="eastAsia" w:ascii="仿宋" w:hAnsi="仿宋" w:eastAsia="仿宋" w:cs="仿宋"/>
                <w:color w:val="auto"/>
                <w:sz w:val="21"/>
                <w:szCs w:val="21"/>
              </w:rPr>
              <w:t>机械行业</w:t>
            </w:r>
          </w:p>
        </w:tc>
        <w:tc>
          <w:tcPr>
            <w:tcW w:w="1871" w:type="dxa"/>
            <w:shd w:val="clear" w:color="auto" w:fill="auto"/>
            <w:vAlign w:val="center"/>
          </w:tcPr>
          <w:p>
            <w:pPr>
              <w:widowControl/>
              <w:jc w:val="center"/>
              <w:rPr>
                <w:rFonts w:hint="eastAsia" w:ascii="仿宋" w:hAnsi="仿宋" w:eastAsia="仿宋" w:cs="仿宋"/>
                <w:color w:val="auto"/>
                <w:sz w:val="21"/>
                <w:szCs w:val="21"/>
              </w:rPr>
            </w:pPr>
            <w:r>
              <w:rPr>
                <w:rFonts w:hint="eastAsia" w:ascii="仿宋" w:hAnsi="仿宋" w:eastAsia="仿宋" w:cs="仿宋"/>
                <w:color w:val="auto"/>
                <w:sz w:val="21"/>
                <w:szCs w:val="21"/>
              </w:rPr>
              <w:t>车、镗、铣、钻机床等</w:t>
            </w:r>
          </w:p>
        </w:tc>
        <w:tc>
          <w:tcPr>
            <w:tcW w:w="1871" w:type="dxa"/>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1.相对运动的机床刀具、带锐角的加工件，缺少防止意外破碎、抛出防护。</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2.操作旋转机床等颗粒飞溅作业未戴防护眼镜。</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3.机床上摆放工具、材料、零件的浮动物品。</w:t>
            </w:r>
          </w:p>
        </w:tc>
        <w:tc>
          <w:tcPr>
            <w:tcW w:w="2592" w:type="dxa"/>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1.隔离运动的刀具与工件。</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2.设备应采取放置颗粒飞溅的防护措施。</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3.设置防止物品坠落的装置。</w:t>
            </w:r>
          </w:p>
        </w:tc>
        <w:tc>
          <w:tcPr>
            <w:tcW w:w="3021" w:type="dxa"/>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1.实行“师傅带徒弟制度”，徒弟独立作业前，老师要对徒弟的吃刀量、工件装夹安全负责。</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2.按规定佩戴防护眼镜。</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3.着装防砸工作鞋。</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4.清理高处浮动物。</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5.推行“5S”现场管理。</w:t>
            </w:r>
          </w:p>
        </w:tc>
        <w:tc>
          <w:tcPr>
            <w:tcW w:w="3960" w:type="dxa"/>
            <w:shd w:val="clear" w:color="auto" w:fill="auto"/>
            <w:vAlign w:val="center"/>
          </w:tcPr>
          <w:p>
            <w:pPr>
              <w:widowControl/>
              <w:jc w:val="center"/>
              <w:rPr>
                <w:rFonts w:hint="eastAsia" w:ascii="仿宋" w:hAnsi="仿宋" w:eastAsia="仿宋" w:cs="仿宋"/>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557" w:type="dxa"/>
            <w:shd w:val="clear" w:color="auto" w:fill="auto"/>
            <w:vAlign w:val="center"/>
          </w:tcPr>
          <w:p>
            <w:pPr>
              <w:widowControl/>
              <w:jc w:val="center"/>
              <w:rPr>
                <w:rFonts w:hint="eastAsia" w:ascii="仿宋" w:hAnsi="仿宋" w:eastAsia="仿宋" w:cs="仿宋"/>
                <w:color w:val="auto"/>
                <w:sz w:val="21"/>
                <w:szCs w:val="21"/>
              </w:rPr>
            </w:pPr>
            <w:r>
              <w:rPr>
                <w:rFonts w:hint="eastAsia" w:ascii="仿宋" w:hAnsi="仿宋" w:eastAsia="仿宋" w:cs="仿宋"/>
                <w:color w:val="auto"/>
                <w:sz w:val="21"/>
                <w:szCs w:val="21"/>
              </w:rPr>
              <w:t>2</w:t>
            </w:r>
          </w:p>
        </w:tc>
        <w:tc>
          <w:tcPr>
            <w:tcW w:w="1022" w:type="dxa"/>
            <w:shd w:val="clear" w:color="auto" w:fill="auto"/>
            <w:vAlign w:val="center"/>
          </w:tcPr>
          <w:p>
            <w:pPr>
              <w:widowControl/>
              <w:jc w:val="center"/>
              <w:rPr>
                <w:rFonts w:hint="eastAsia" w:ascii="仿宋" w:hAnsi="仿宋" w:eastAsia="仿宋" w:cs="仿宋"/>
                <w:color w:val="auto"/>
                <w:sz w:val="21"/>
                <w:szCs w:val="21"/>
              </w:rPr>
            </w:pPr>
            <w:r>
              <w:rPr>
                <w:rFonts w:hint="eastAsia" w:ascii="仿宋" w:hAnsi="仿宋" w:eastAsia="仿宋" w:cs="仿宋"/>
                <w:color w:val="auto"/>
                <w:sz w:val="21"/>
                <w:szCs w:val="21"/>
              </w:rPr>
              <w:t>机械行业</w:t>
            </w:r>
          </w:p>
        </w:tc>
        <w:tc>
          <w:tcPr>
            <w:tcW w:w="1871" w:type="dxa"/>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混砂机、压力机、起重机械和厂房建筑等存在零部件坠落伤人的设备设施</w:t>
            </w:r>
          </w:p>
        </w:tc>
        <w:tc>
          <w:tcPr>
            <w:tcW w:w="1871" w:type="dxa"/>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1.进入不稳定（意外碰撞可倒塌）构建、建筑的空间内作业。</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2.未按规定带安全帽。</w:t>
            </w:r>
          </w:p>
        </w:tc>
        <w:tc>
          <w:tcPr>
            <w:tcW w:w="2592" w:type="dxa"/>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1.作业工位应与物料存放区隔离。</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2.高处物件设置防松连接与防止坠落的护板。</w:t>
            </w:r>
          </w:p>
        </w:tc>
        <w:tc>
          <w:tcPr>
            <w:tcW w:w="3021" w:type="dxa"/>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1.定期组织建筑物、构筑物以及作业工位物件安全稳定性鉴定，特别是超过使用期限的建筑物、构筑物。</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2.按规定佩戴防护眼镜。</w:t>
            </w:r>
          </w:p>
        </w:tc>
        <w:tc>
          <w:tcPr>
            <w:tcW w:w="3960" w:type="dxa"/>
            <w:shd w:val="clear" w:color="auto" w:fill="auto"/>
            <w:vAlign w:val="center"/>
          </w:tcPr>
          <w:p>
            <w:pPr>
              <w:widowControl/>
              <w:jc w:val="center"/>
              <w:rPr>
                <w:rFonts w:hint="eastAsia" w:ascii="仿宋" w:hAnsi="仿宋" w:eastAsia="仿宋" w:cs="仿宋"/>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557" w:type="dxa"/>
            <w:shd w:val="clear" w:color="auto" w:fill="auto"/>
            <w:vAlign w:val="center"/>
          </w:tcPr>
          <w:p>
            <w:pPr>
              <w:widowControl/>
              <w:jc w:val="center"/>
              <w:rPr>
                <w:rFonts w:hint="eastAsia" w:ascii="仿宋" w:hAnsi="仿宋" w:eastAsia="仿宋" w:cs="仿宋"/>
                <w:color w:val="auto"/>
                <w:sz w:val="21"/>
                <w:szCs w:val="21"/>
              </w:rPr>
            </w:pPr>
            <w:r>
              <w:rPr>
                <w:rFonts w:hint="eastAsia" w:ascii="仿宋" w:hAnsi="仿宋" w:eastAsia="仿宋" w:cs="仿宋"/>
                <w:color w:val="auto"/>
                <w:sz w:val="21"/>
                <w:szCs w:val="21"/>
              </w:rPr>
              <w:t>3</w:t>
            </w:r>
          </w:p>
        </w:tc>
        <w:tc>
          <w:tcPr>
            <w:tcW w:w="1022" w:type="dxa"/>
            <w:shd w:val="clear" w:color="auto" w:fill="auto"/>
            <w:vAlign w:val="center"/>
          </w:tcPr>
          <w:p>
            <w:pPr>
              <w:widowControl/>
              <w:jc w:val="center"/>
              <w:rPr>
                <w:rFonts w:hint="eastAsia" w:ascii="仿宋" w:hAnsi="仿宋" w:eastAsia="仿宋" w:cs="仿宋"/>
                <w:color w:val="auto"/>
                <w:sz w:val="21"/>
                <w:szCs w:val="21"/>
              </w:rPr>
            </w:pPr>
            <w:r>
              <w:rPr>
                <w:rFonts w:hint="eastAsia" w:ascii="仿宋" w:hAnsi="仿宋" w:eastAsia="仿宋" w:cs="仿宋"/>
                <w:color w:val="auto"/>
                <w:sz w:val="21"/>
                <w:szCs w:val="21"/>
              </w:rPr>
              <w:t>机械行业</w:t>
            </w:r>
          </w:p>
        </w:tc>
        <w:tc>
          <w:tcPr>
            <w:tcW w:w="1871" w:type="dxa"/>
            <w:shd w:val="clear" w:color="auto" w:fill="auto"/>
            <w:vAlign w:val="center"/>
          </w:tcPr>
          <w:p>
            <w:pPr>
              <w:widowControl/>
              <w:jc w:val="center"/>
              <w:rPr>
                <w:rFonts w:hint="eastAsia" w:ascii="仿宋" w:hAnsi="仿宋" w:eastAsia="仿宋" w:cs="仿宋"/>
                <w:color w:val="auto"/>
                <w:sz w:val="21"/>
                <w:szCs w:val="21"/>
              </w:rPr>
            </w:pPr>
            <w:r>
              <w:rPr>
                <w:rFonts w:hint="eastAsia" w:ascii="仿宋" w:hAnsi="仿宋" w:eastAsia="仿宋" w:cs="仿宋"/>
                <w:color w:val="auto"/>
                <w:sz w:val="21"/>
                <w:szCs w:val="21"/>
              </w:rPr>
              <w:t>起重设备</w:t>
            </w:r>
          </w:p>
        </w:tc>
        <w:tc>
          <w:tcPr>
            <w:tcW w:w="1871" w:type="dxa"/>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1.吊物下作业、逗留、穿行。</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2.吊钩过卷扬限位失灵、吊钩过卷扬坠落。</w:t>
            </w:r>
          </w:p>
        </w:tc>
        <w:tc>
          <w:tcPr>
            <w:tcW w:w="2592" w:type="dxa"/>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1.吊物下作业，必须设置可靠的支撑。</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2.设置双重过卷扬限位。</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3.吊运熔融金属的起重机应符合《冶金起重机技术条件第５部分：铸造起重机》《高温熔融金属吊运安全规程》的相关规定。</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4.吊索具应定期检查，吊钩和横梁应定期进行探伤检验。</w:t>
            </w:r>
          </w:p>
        </w:tc>
        <w:tc>
          <w:tcPr>
            <w:tcW w:w="3021" w:type="dxa"/>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1.严禁吊物下作业、吊物过人，位置必究。</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2.每天试车；每周保养；每月专业检查，保障吊运安全。</w:t>
            </w:r>
          </w:p>
        </w:tc>
        <w:tc>
          <w:tcPr>
            <w:tcW w:w="3960" w:type="dxa"/>
            <w:shd w:val="clear" w:color="auto" w:fill="auto"/>
            <w:vAlign w:val="center"/>
          </w:tcPr>
          <w:p>
            <w:pPr>
              <w:widowControl/>
              <w:jc w:val="center"/>
              <w:rPr>
                <w:rFonts w:hint="eastAsia" w:ascii="仿宋" w:hAnsi="仿宋" w:eastAsia="仿宋" w:cs="仿宋"/>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557" w:type="dxa"/>
            <w:shd w:val="clear" w:color="auto" w:fill="auto"/>
            <w:vAlign w:val="center"/>
          </w:tcPr>
          <w:p>
            <w:pPr>
              <w:widowControl/>
              <w:jc w:val="center"/>
              <w:rPr>
                <w:rFonts w:hint="eastAsia" w:ascii="仿宋" w:hAnsi="仿宋" w:eastAsia="仿宋" w:cs="仿宋"/>
                <w:color w:val="auto"/>
                <w:sz w:val="21"/>
                <w:szCs w:val="21"/>
              </w:rPr>
            </w:pPr>
            <w:r>
              <w:rPr>
                <w:rFonts w:hint="eastAsia" w:ascii="仿宋" w:hAnsi="仿宋" w:eastAsia="仿宋" w:cs="仿宋"/>
                <w:color w:val="auto"/>
                <w:sz w:val="21"/>
                <w:szCs w:val="21"/>
              </w:rPr>
              <w:t>4</w:t>
            </w:r>
          </w:p>
        </w:tc>
        <w:tc>
          <w:tcPr>
            <w:tcW w:w="1022" w:type="dxa"/>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通用设备制造业、专用设备制造业、汽车制造业</w:t>
            </w:r>
          </w:p>
        </w:tc>
        <w:tc>
          <w:tcPr>
            <w:tcW w:w="1871" w:type="dxa"/>
            <w:shd w:val="clear" w:color="auto" w:fill="auto"/>
            <w:vAlign w:val="center"/>
          </w:tcPr>
          <w:p>
            <w:pPr>
              <w:widowControl/>
              <w:jc w:val="center"/>
              <w:rPr>
                <w:rFonts w:hint="eastAsia" w:ascii="仿宋" w:hAnsi="仿宋" w:eastAsia="仿宋" w:cs="仿宋"/>
                <w:color w:val="auto"/>
                <w:sz w:val="21"/>
                <w:szCs w:val="21"/>
              </w:rPr>
            </w:pPr>
            <w:r>
              <w:rPr>
                <w:rFonts w:hint="eastAsia" w:ascii="仿宋" w:hAnsi="仿宋" w:eastAsia="仿宋" w:cs="仿宋"/>
                <w:color w:val="auto"/>
                <w:sz w:val="21"/>
                <w:szCs w:val="21"/>
              </w:rPr>
              <w:t>大件放置</w:t>
            </w:r>
          </w:p>
        </w:tc>
        <w:tc>
          <w:tcPr>
            <w:tcW w:w="1871" w:type="dxa"/>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1.受外力碰撞。</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2.放置不稳。</w:t>
            </w:r>
          </w:p>
        </w:tc>
        <w:tc>
          <w:tcPr>
            <w:tcW w:w="2592" w:type="dxa"/>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1.针对不同的工件设置相应防倾倒装置。</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2.大件放置区域设置警示带。</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3.规划工件放置区域，固定位置存放。</w:t>
            </w:r>
          </w:p>
        </w:tc>
        <w:tc>
          <w:tcPr>
            <w:tcW w:w="3021" w:type="dxa"/>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1.编制大件放置标准，规定放置高度、叠放件数及防倾倒装置使用要求，监督措施使用。</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2.操作人员正确穿戴劳动防护用品（安全帽、劳保鞋、防护服）。</w:t>
            </w:r>
          </w:p>
        </w:tc>
        <w:tc>
          <w:tcPr>
            <w:tcW w:w="3960" w:type="dxa"/>
            <w:shd w:val="clear" w:color="auto" w:fill="auto"/>
            <w:vAlign w:val="center"/>
          </w:tcPr>
          <w:p>
            <w:pPr>
              <w:widowControl/>
              <w:jc w:val="center"/>
              <w:rPr>
                <w:rFonts w:hint="eastAsia" w:ascii="仿宋" w:hAnsi="仿宋" w:eastAsia="仿宋" w:cs="仿宋"/>
                <w:color w:val="auto"/>
                <w:sz w:val="21"/>
                <w:szCs w:val="21"/>
              </w:rPr>
            </w:pPr>
            <w:r>
              <w:rPr>
                <w:rFonts w:hint="eastAsia" w:ascii="仿宋" w:hAnsi="仿宋" w:eastAsia="仿宋" w:cs="仿宋"/>
                <w:color w:val="auto"/>
                <w:sz w:val="21"/>
                <w:szCs w:val="21"/>
              </w:rPr>
              <w:object>
                <v:shape id="_x0000_i1039" o:spt="75" type="#_x0000_t75" style="height:106.95pt;width:141.9pt;" o:ole="t" filled="f" o:preferrelative="t" stroked="f" coordsize="21600,21600">
                  <v:path/>
                  <v:fill on="f" focussize="0,0"/>
                  <v:stroke on="f" joinstyle="miter"/>
                  <v:imagedata r:id="rId52" o:title=""/>
                  <o:lock v:ext="edit" aspectratio="t"/>
                  <w10:wrap type="none"/>
                  <w10:anchorlock/>
                </v:shape>
                <o:OLEObject Type="Embed" ProgID="PBrush" ShapeID="_x0000_i1039" DrawAspect="Content" ObjectID="_1468075739" r:id="rId51">
                  <o:LockedField>false</o:LockedField>
                </o:OLEObject>
              </w:object>
            </w:r>
          </w:p>
          <w:p>
            <w:pPr>
              <w:widowControl/>
              <w:jc w:val="center"/>
              <w:rPr>
                <w:rFonts w:hint="eastAsia" w:ascii="仿宋" w:hAnsi="仿宋" w:eastAsia="仿宋" w:cs="仿宋"/>
                <w:color w:val="auto"/>
                <w:sz w:val="21"/>
                <w:szCs w:val="21"/>
              </w:rPr>
            </w:pPr>
            <w:r>
              <w:rPr>
                <w:rFonts w:hint="eastAsia" w:ascii="仿宋" w:hAnsi="仿宋" w:eastAsia="仿宋" w:cs="仿宋"/>
                <w:color w:val="auto"/>
                <w:sz w:val="21"/>
                <w:szCs w:val="21"/>
              </w:rPr>
              <w:object>
                <v:shape id="_x0000_i1040" o:spt="75" type="#_x0000_t75" style="height:109.05pt;width:147.35pt;" o:ole="t" filled="f" o:preferrelative="t" stroked="f" coordsize="21600,21600">
                  <v:path/>
                  <v:fill on="f" focussize="0,0"/>
                  <v:stroke on="f" joinstyle="miter"/>
                  <v:imagedata r:id="rId54" o:title=""/>
                  <o:lock v:ext="edit" aspectratio="t"/>
                  <w10:wrap type="none"/>
                  <w10:anchorlock/>
                </v:shape>
                <o:OLEObject Type="Embed" ProgID="PBrush" ShapeID="_x0000_i1040" DrawAspect="Content" ObjectID="_1468075740" r:id="rId53">
                  <o:LockedField>false</o:LockedField>
                </o:OLEObject>
              </w:objec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557" w:type="dxa"/>
            <w:shd w:val="clear" w:color="auto" w:fill="auto"/>
            <w:vAlign w:val="center"/>
          </w:tcPr>
          <w:p>
            <w:pPr>
              <w:widowControl/>
              <w:jc w:val="center"/>
              <w:rPr>
                <w:rFonts w:hint="eastAsia" w:ascii="仿宋" w:hAnsi="仿宋" w:eastAsia="仿宋" w:cs="仿宋"/>
                <w:color w:val="auto"/>
                <w:sz w:val="21"/>
                <w:szCs w:val="21"/>
              </w:rPr>
            </w:pPr>
            <w:r>
              <w:rPr>
                <w:rFonts w:hint="eastAsia" w:ascii="仿宋" w:hAnsi="仿宋" w:eastAsia="仿宋" w:cs="仿宋"/>
                <w:color w:val="auto"/>
                <w:sz w:val="21"/>
                <w:szCs w:val="21"/>
              </w:rPr>
              <w:t>5</w:t>
            </w:r>
          </w:p>
        </w:tc>
        <w:tc>
          <w:tcPr>
            <w:tcW w:w="1022" w:type="dxa"/>
            <w:shd w:val="clear" w:color="auto" w:fill="auto"/>
            <w:vAlign w:val="center"/>
          </w:tcPr>
          <w:p>
            <w:pPr>
              <w:widowControl/>
              <w:jc w:val="center"/>
              <w:rPr>
                <w:rFonts w:hint="eastAsia" w:ascii="仿宋" w:hAnsi="仿宋" w:eastAsia="仿宋" w:cs="仿宋"/>
                <w:color w:val="auto"/>
                <w:sz w:val="21"/>
                <w:szCs w:val="21"/>
              </w:rPr>
            </w:pPr>
            <w:r>
              <w:rPr>
                <w:rFonts w:hint="eastAsia" w:ascii="仿宋" w:hAnsi="仿宋" w:eastAsia="仿宋" w:cs="仿宋"/>
                <w:color w:val="auto"/>
                <w:sz w:val="21"/>
                <w:szCs w:val="21"/>
              </w:rPr>
              <w:t>机械行业</w:t>
            </w:r>
          </w:p>
        </w:tc>
        <w:tc>
          <w:tcPr>
            <w:tcW w:w="1871" w:type="dxa"/>
            <w:shd w:val="clear" w:color="auto" w:fill="auto"/>
            <w:vAlign w:val="center"/>
          </w:tcPr>
          <w:p>
            <w:pPr>
              <w:widowControl/>
              <w:jc w:val="center"/>
              <w:rPr>
                <w:rFonts w:hint="eastAsia" w:ascii="仿宋" w:hAnsi="仿宋" w:eastAsia="仿宋" w:cs="仿宋"/>
                <w:color w:val="auto"/>
                <w:sz w:val="21"/>
                <w:szCs w:val="21"/>
              </w:rPr>
            </w:pPr>
            <w:r>
              <w:rPr>
                <w:rFonts w:hint="eastAsia" w:ascii="仿宋" w:hAnsi="仿宋" w:eastAsia="仿宋" w:cs="仿宋"/>
                <w:color w:val="auto"/>
                <w:sz w:val="21"/>
                <w:szCs w:val="21"/>
              </w:rPr>
              <w:t>装配、检维修</w:t>
            </w:r>
          </w:p>
        </w:tc>
        <w:tc>
          <w:tcPr>
            <w:tcW w:w="1871" w:type="dxa"/>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1.高处作业工具坠落。</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2.危险作业未办理审批手续。</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3.高处抛掷物品。</w:t>
            </w:r>
          </w:p>
        </w:tc>
        <w:tc>
          <w:tcPr>
            <w:tcW w:w="2592" w:type="dxa"/>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1.设置工件连接手链。</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2.配备工具包。</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3.设置高处物品传递设施、器具。</w:t>
            </w:r>
          </w:p>
        </w:tc>
        <w:tc>
          <w:tcPr>
            <w:tcW w:w="3021" w:type="dxa"/>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1.加强检查，保障措施落实。</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2.严格危险作业审批管理。</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3.禁止抛掷物品，严禁高处抛物。</w:t>
            </w:r>
          </w:p>
        </w:tc>
        <w:tc>
          <w:tcPr>
            <w:tcW w:w="3960" w:type="dxa"/>
            <w:shd w:val="clear" w:color="auto" w:fill="auto"/>
            <w:vAlign w:val="center"/>
          </w:tcPr>
          <w:p>
            <w:pPr>
              <w:widowControl/>
              <w:jc w:val="center"/>
              <w:rPr>
                <w:rFonts w:hint="eastAsia" w:ascii="仿宋" w:hAnsi="仿宋" w:eastAsia="仿宋" w:cs="仿宋"/>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557" w:type="dxa"/>
            <w:shd w:val="clear" w:color="auto" w:fill="auto"/>
            <w:vAlign w:val="center"/>
          </w:tcPr>
          <w:p>
            <w:pPr>
              <w:widowControl/>
              <w:jc w:val="center"/>
              <w:rPr>
                <w:rFonts w:hint="eastAsia" w:ascii="仿宋" w:hAnsi="仿宋" w:eastAsia="仿宋" w:cs="仿宋"/>
                <w:color w:val="auto"/>
                <w:sz w:val="21"/>
                <w:szCs w:val="21"/>
              </w:rPr>
            </w:pPr>
            <w:r>
              <w:rPr>
                <w:rFonts w:hint="eastAsia" w:ascii="仿宋" w:hAnsi="仿宋" w:eastAsia="仿宋" w:cs="仿宋"/>
                <w:color w:val="auto"/>
                <w:sz w:val="21"/>
                <w:szCs w:val="21"/>
              </w:rPr>
              <w:t>6</w:t>
            </w:r>
          </w:p>
        </w:tc>
        <w:tc>
          <w:tcPr>
            <w:tcW w:w="1022" w:type="dxa"/>
            <w:shd w:val="clear" w:color="auto" w:fill="auto"/>
            <w:vAlign w:val="center"/>
          </w:tcPr>
          <w:p>
            <w:pPr>
              <w:widowControl/>
              <w:jc w:val="center"/>
              <w:rPr>
                <w:rFonts w:hint="eastAsia" w:ascii="仿宋" w:hAnsi="仿宋" w:eastAsia="仿宋" w:cs="仿宋"/>
                <w:color w:val="auto"/>
                <w:sz w:val="21"/>
                <w:szCs w:val="21"/>
              </w:rPr>
            </w:pPr>
            <w:r>
              <w:rPr>
                <w:rFonts w:hint="eastAsia" w:ascii="仿宋" w:hAnsi="仿宋" w:eastAsia="仿宋" w:cs="仿宋"/>
                <w:color w:val="auto"/>
                <w:sz w:val="21"/>
                <w:szCs w:val="21"/>
              </w:rPr>
              <w:t>通用设备制造业、专用设备制造业、汽车制造业</w:t>
            </w:r>
          </w:p>
        </w:tc>
        <w:tc>
          <w:tcPr>
            <w:tcW w:w="1871" w:type="dxa"/>
            <w:shd w:val="clear" w:color="auto" w:fill="auto"/>
            <w:vAlign w:val="center"/>
          </w:tcPr>
          <w:p>
            <w:pPr>
              <w:widowControl/>
              <w:jc w:val="center"/>
              <w:rPr>
                <w:rFonts w:hint="eastAsia" w:ascii="仿宋" w:hAnsi="仿宋" w:eastAsia="仿宋" w:cs="仿宋"/>
                <w:color w:val="auto"/>
                <w:sz w:val="21"/>
                <w:szCs w:val="21"/>
              </w:rPr>
            </w:pPr>
            <w:r>
              <w:rPr>
                <w:rFonts w:hint="eastAsia" w:ascii="仿宋" w:hAnsi="仿宋" w:eastAsia="仿宋" w:cs="仿宋"/>
                <w:color w:val="auto"/>
                <w:sz w:val="21"/>
                <w:szCs w:val="21"/>
              </w:rPr>
              <w:t>柴油机测试台车、测功器</w:t>
            </w:r>
          </w:p>
        </w:tc>
        <w:tc>
          <w:tcPr>
            <w:tcW w:w="1871" w:type="dxa"/>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1.柴油机测试飞车，发生零部件飞出，导致物体打击。</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2.测功器连接轴断裂，相关部位飞出，导致物体打击。</w:t>
            </w:r>
          </w:p>
        </w:tc>
        <w:tc>
          <w:tcPr>
            <w:tcW w:w="2592" w:type="dxa"/>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1.试车间防护门加装联锁保护，人员进入，柴油机、测试设备自动停止。</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2.连接轴旋转部位加装防护罩，防止连接轴断裂时飞出砸伤人员。</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3.安装断油、断电切断装置，紧急情况下能及时停机。</w:t>
            </w:r>
          </w:p>
        </w:tc>
        <w:tc>
          <w:tcPr>
            <w:tcW w:w="3021" w:type="dxa"/>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1.制定作业文件，柴油机测试期间严禁人员进入，需要进入时须降低负荷，恢复怠速状态。</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2.张贴警示标识，警示人员注意防护及远离旋转部位。</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3.制定简单易于操作的安全操作规程，明确操作标准，监督员工执行。</w:t>
            </w:r>
          </w:p>
        </w:tc>
        <w:tc>
          <w:tcPr>
            <w:tcW w:w="3960" w:type="dxa"/>
            <w:shd w:val="clear" w:color="auto" w:fill="auto"/>
            <w:vAlign w:val="center"/>
          </w:tcPr>
          <w:p>
            <w:pPr>
              <w:widowControl/>
              <w:jc w:val="center"/>
              <w:rPr>
                <w:rFonts w:hint="eastAsia" w:ascii="仿宋" w:hAnsi="仿宋" w:eastAsia="仿宋" w:cs="仿宋"/>
                <w:color w:val="auto"/>
                <w:sz w:val="21"/>
                <w:szCs w:val="21"/>
              </w:rPr>
            </w:pPr>
            <w:r>
              <w:rPr>
                <w:rFonts w:hint="eastAsia" w:ascii="仿宋" w:hAnsi="仿宋" w:eastAsia="仿宋" w:cs="仿宋"/>
                <w:color w:val="auto"/>
                <w:sz w:val="21"/>
                <w:szCs w:val="21"/>
              </w:rPr>
              <w:object>
                <v:shape id="_x0000_i1041" o:spt="75" type="#_x0000_t75" style="height:127.75pt;width:149.4pt;" o:ole="t" filled="f" o:preferrelative="t" stroked="f" coordsize="21600,21600">
                  <v:path/>
                  <v:fill on="f" focussize="0,0"/>
                  <v:stroke on="f" joinstyle="miter"/>
                  <v:imagedata r:id="rId56" o:title=""/>
                  <o:lock v:ext="edit" aspectratio="t"/>
                  <w10:wrap type="none"/>
                  <w10:anchorlock/>
                </v:shape>
                <o:OLEObject Type="Embed" ProgID="PBrush" ShapeID="_x0000_i1041" DrawAspect="Content" ObjectID="_1468075741" r:id="rId55">
                  <o:LockedField>false</o:LockedField>
                </o:OLEObject>
              </w:object>
            </w:r>
          </w:p>
        </w:tc>
      </w:tr>
    </w:tbl>
    <w:p>
      <w:pPr>
        <w:rPr>
          <w:rFonts w:ascii="宋体" w:hAnsi="宋体" w:eastAsia="宋体"/>
          <w:color w:val="auto"/>
          <w:sz w:val="28"/>
          <w:szCs w:val="32"/>
        </w:rPr>
      </w:pPr>
    </w:p>
    <w:p>
      <w:pPr>
        <w:rPr>
          <w:rFonts w:ascii="宋体" w:hAnsi="宋体" w:eastAsia="宋体"/>
          <w:color w:val="auto"/>
          <w:sz w:val="28"/>
          <w:szCs w:val="32"/>
        </w:rPr>
      </w:pPr>
    </w:p>
    <w:p>
      <w:pPr>
        <w:rPr>
          <w:rFonts w:ascii="宋体" w:hAnsi="宋体" w:eastAsia="宋体"/>
          <w:color w:val="auto"/>
          <w:sz w:val="28"/>
          <w:szCs w:val="32"/>
        </w:rPr>
      </w:pPr>
      <w:r>
        <w:rPr>
          <w:rFonts w:ascii="宋体" w:hAnsi="宋体" w:eastAsia="宋体"/>
          <w:color w:val="auto"/>
          <w:sz w:val="28"/>
          <w:szCs w:val="32"/>
        </w:rPr>
        <w:br w:type="page"/>
      </w:r>
    </w:p>
    <w:p>
      <w:pPr>
        <w:rPr>
          <w:rFonts w:hint="eastAsia" w:ascii="楷体_GB2312" w:hAnsi="楷体_GB2312" w:eastAsia="楷体_GB2312" w:cs="楷体_GB2312"/>
          <w:color w:val="auto"/>
          <w:sz w:val="28"/>
          <w:szCs w:val="32"/>
        </w:rPr>
      </w:pPr>
      <w:r>
        <w:rPr>
          <w:rFonts w:hint="eastAsia" w:ascii="楷体_GB2312" w:hAnsi="楷体_GB2312" w:eastAsia="楷体_GB2312" w:cs="楷体_GB2312"/>
          <w:color w:val="auto"/>
          <w:sz w:val="28"/>
          <w:szCs w:val="32"/>
          <w:lang w:val="en-US" w:eastAsia="zh-CN"/>
        </w:rPr>
        <w:t>6</w:t>
      </w:r>
      <w:r>
        <w:rPr>
          <w:rFonts w:hint="eastAsia" w:ascii="楷体_GB2312" w:hAnsi="楷体_GB2312" w:eastAsia="楷体_GB2312" w:cs="楷体_GB2312"/>
          <w:color w:val="auto"/>
          <w:sz w:val="28"/>
          <w:szCs w:val="32"/>
        </w:rPr>
        <w:t>.轻工行业典型物体打击事故管控措施</w:t>
      </w:r>
    </w:p>
    <w:tbl>
      <w:tblPr>
        <w:tblStyle w:val="4"/>
        <w:tblW w:w="1489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31"/>
        <w:gridCol w:w="953"/>
        <w:gridCol w:w="2064"/>
        <w:gridCol w:w="1874"/>
        <w:gridCol w:w="2592"/>
        <w:gridCol w:w="3015"/>
        <w:gridCol w:w="396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431" w:type="dxa"/>
            <w:shd w:val="clear" w:color="auto" w:fill="auto"/>
            <w:vAlign w:val="center"/>
          </w:tcPr>
          <w:p>
            <w:pPr>
              <w:widowControl/>
              <w:jc w:val="center"/>
              <w:rPr>
                <w:rFonts w:hint="eastAsia" w:ascii="黑体" w:hAnsi="黑体" w:eastAsia="黑体" w:cs="黑体"/>
                <w:color w:val="auto"/>
                <w:sz w:val="21"/>
                <w:szCs w:val="21"/>
              </w:rPr>
            </w:pPr>
            <w:r>
              <w:rPr>
                <w:rFonts w:hint="eastAsia" w:ascii="黑体" w:hAnsi="黑体" w:eastAsia="黑体" w:cs="黑体"/>
                <w:color w:val="auto"/>
                <w:sz w:val="21"/>
                <w:szCs w:val="21"/>
              </w:rPr>
              <w:t>序号</w:t>
            </w:r>
          </w:p>
        </w:tc>
        <w:tc>
          <w:tcPr>
            <w:tcW w:w="953" w:type="dxa"/>
            <w:shd w:val="clear" w:color="auto" w:fill="auto"/>
            <w:vAlign w:val="center"/>
          </w:tcPr>
          <w:p>
            <w:pPr>
              <w:widowControl/>
              <w:jc w:val="center"/>
              <w:rPr>
                <w:rFonts w:hint="eastAsia" w:ascii="黑体" w:hAnsi="黑体" w:eastAsia="黑体" w:cs="黑体"/>
                <w:color w:val="auto"/>
                <w:sz w:val="21"/>
                <w:szCs w:val="21"/>
              </w:rPr>
            </w:pPr>
            <w:r>
              <w:rPr>
                <w:rFonts w:hint="eastAsia" w:ascii="黑体" w:hAnsi="黑体" w:eastAsia="黑体" w:cs="黑体"/>
                <w:color w:val="auto"/>
                <w:sz w:val="21"/>
                <w:szCs w:val="21"/>
              </w:rPr>
              <w:t>中类行业名称</w:t>
            </w:r>
          </w:p>
        </w:tc>
        <w:tc>
          <w:tcPr>
            <w:tcW w:w="2064" w:type="dxa"/>
            <w:shd w:val="clear" w:color="auto" w:fill="auto"/>
            <w:vAlign w:val="center"/>
          </w:tcPr>
          <w:p>
            <w:pPr>
              <w:widowControl/>
              <w:jc w:val="center"/>
              <w:rPr>
                <w:rFonts w:hint="eastAsia" w:ascii="黑体" w:hAnsi="黑体" w:eastAsia="黑体" w:cs="黑体"/>
                <w:color w:val="auto"/>
                <w:sz w:val="21"/>
                <w:szCs w:val="21"/>
              </w:rPr>
            </w:pPr>
            <w:r>
              <w:rPr>
                <w:rFonts w:hint="eastAsia" w:ascii="黑体" w:hAnsi="黑体" w:eastAsia="黑体" w:cs="黑体"/>
                <w:color w:val="auto"/>
                <w:sz w:val="21"/>
                <w:szCs w:val="21"/>
              </w:rPr>
              <w:t>典型设备设施或作业活动举例</w:t>
            </w:r>
          </w:p>
        </w:tc>
        <w:tc>
          <w:tcPr>
            <w:tcW w:w="1874" w:type="dxa"/>
            <w:shd w:val="clear" w:color="auto" w:fill="auto"/>
            <w:vAlign w:val="center"/>
          </w:tcPr>
          <w:p>
            <w:pPr>
              <w:widowControl/>
              <w:jc w:val="center"/>
              <w:rPr>
                <w:rFonts w:hint="eastAsia" w:ascii="黑体" w:hAnsi="黑体" w:eastAsia="黑体" w:cs="黑体"/>
                <w:color w:val="auto"/>
                <w:sz w:val="21"/>
                <w:szCs w:val="21"/>
              </w:rPr>
            </w:pPr>
            <w:r>
              <w:rPr>
                <w:rFonts w:hint="eastAsia" w:ascii="黑体" w:hAnsi="黑体" w:eastAsia="黑体" w:cs="黑体"/>
                <w:color w:val="auto"/>
                <w:sz w:val="21"/>
                <w:szCs w:val="21"/>
              </w:rPr>
              <w:t>事故原因</w:t>
            </w:r>
          </w:p>
        </w:tc>
        <w:tc>
          <w:tcPr>
            <w:tcW w:w="2592" w:type="dxa"/>
            <w:shd w:val="clear" w:color="auto" w:fill="auto"/>
            <w:vAlign w:val="center"/>
          </w:tcPr>
          <w:p>
            <w:pPr>
              <w:widowControl/>
              <w:jc w:val="center"/>
              <w:rPr>
                <w:rFonts w:hint="eastAsia" w:ascii="黑体" w:hAnsi="黑体" w:eastAsia="黑体" w:cs="黑体"/>
                <w:color w:val="auto"/>
                <w:sz w:val="21"/>
                <w:szCs w:val="21"/>
              </w:rPr>
            </w:pPr>
            <w:r>
              <w:rPr>
                <w:rFonts w:hint="eastAsia" w:ascii="黑体" w:hAnsi="黑体" w:eastAsia="黑体" w:cs="黑体"/>
                <w:color w:val="auto"/>
                <w:sz w:val="21"/>
                <w:szCs w:val="21"/>
              </w:rPr>
              <w:t>典型工程技术措施</w:t>
            </w:r>
          </w:p>
        </w:tc>
        <w:tc>
          <w:tcPr>
            <w:tcW w:w="3015" w:type="dxa"/>
            <w:shd w:val="clear" w:color="auto" w:fill="auto"/>
            <w:vAlign w:val="center"/>
          </w:tcPr>
          <w:p>
            <w:pPr>
              <w:widowControl/>
              <w:jc w:val="center"/>
              <w:rPr>
                <w:rFonts w:hint="eastAsia" w:ascii="黑体" w:hAnsi="黑体" w:eastAsia="黑体" w:cs="黑体"/>
                <w:color w:val="auto"/>
                <w:sz w:val="21"/>
                <w:szCs w:val="21"/>
              </w:rPr>
            </w:pPr>
            <w:r>
              <w:rPr>
                <w:rFonts w:hint="eastAsia" w:ascii="黑体" w:hAnsi="黑体" w:eastAsia="黑体" w:cs="黑体"/>
                <w:color w:val="auto"/>
                <w:sz w:val="21"/>
                <w:szCs w:val="21"/>
              </w:rPr>
              <w:t>典型的管理措施</w:t>
            </w:r>
          </w:p>
        </w:tc>
        <w:tc>
          <w:tcPr>
            <w:tcW w:w="3965" w:type="dxa"/>
            <w:shd w:val="clear" w:color="auto" w:fill="auto"/>
            <w:vAlign w:val="center"/>
          </w:tcPr>
          <w:p>
            <w:pPr>
              <w:widowControl/>
              <w:jc w:val="center"/>
              <w:rPr>
                <w:rFonts w:hint="eastAsia" w:ascii="黑体" w:hAnsi="黑体" w:eastAsia="黑体" w:cs="黑体"/>
                <w:color w:val="auto"/>
                <w:sz w:val="21"/>
                <w:szCs w:val="21"/>
              </w:rPr>
            </w:pPr>
            <w:r>
              <w:rPr>
                <w:rFonts w:hint="eastAsia" w:ascii="黑体" w:hAnsi="黑体" w:eastAsia="黑体" w:cs="黑体"/>
                <w:color w:val="auto"/>
                <w:sz w:val="21"/>
                <w:szCs w:val="21"/>
              </w:rPr>
              <w:t>好的做法示例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431" w:type="dxa"/>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1</w:t>
            </w:r>
          </w:p>
        </w:tc>
        <w:tc>
          <w:tcPr>
            <w:tcW w:w="953" w:type="dxa"/>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家具制造业</w:t>
            </w:r>
          </w:p>
        </w:tc>
        <w:tc>
          <w:tcPr>
            <w:tcW w:w="2064" w:type="dxa"/>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带锯机等木材加工机械</w:t>
            </w:r>
          </w:p>
        </w:tc>
        <w:tc>
          <w:tcPr>
            <w:tcW w:w="1874" w:type="dxa"/>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1.设备运行期间带锯发生断裂且防护罩失效，带锯条弹起伤人。</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2.设备运行期间木料中夹杂铁钉等异物。</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3.在续料期间设备故障，造成木料或下脚料弹起。</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4.物料或木料在续料期间或搬运前发生坠落伤人。</w:t>
            </w:r>
          </w:p>
        </w:tc>
        <w:tc>
          <w:tcPr>
            <w:tcW w:w="2592" w:type="dxa"/>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1.加设带锯防护罩或防止反弹装置。</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2.多人作业时有专人指挥、统一行动、相互配合。</w:t>
            </w:r>
          </w:p>
        </w:tc>
        <w:tc>
          <w:tcPr>
            <w:tcW w:w="3015" w:type="dxa"/>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1.按规定对起重设备定期检查、检验；对设备定期维护保养和隐患排查。</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2.吊装作业区设置“当心吊物”安全警示标志。定期检查、维护保养起重吊索具；严格执行“十不吊”。</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3.正确佩戴安全帽、防护目镜等防打击劳保用品。</w:t>
            </w:r>
          </w:p>
        </w:tc>
        <w:tc>
          <w:tcPr>
            <w:tcW w:w="3965" w:type="dxa"/>
            <w:shd w:val="clear" w:color="auto" w:fill="auto"/>
            <w:vAlign w:val="center"/>
          </w:tcPr>
          <w:p>
            <w:pPr>
              <w:widowControl/>
              <w:jc w:val="center"/>
              <w:rPr>
                <w:rFonts w:hint="eastAsia" w:ascii="仿宋" w:hAnsi="仿宋" w:eastAsia="仿宋" w:cs="仿宋"/>
                <w:color w:val="auto"/>
                <w:sz w:val="21"/>
                <w:szCs w:val="21"/>
              </w:rPr>
            </w:pPr>
            <w:r>
              <w:rPr>
                <w:rFonts w:hint="eastAsia" w:ascii="仿宋" w:hAnsi="仿宋" w:eastAsia="仿宋" w:cs="仿宋"/>
                <w:color w:val="auto"/>
                <w:sz w:val="21"/>
                <w:szCs w:val="21"/>
              </w:rPr>
              <w:drawing>
                <wp:inline distT="0" distB="0" distL="0" distR="0">
                  <wp:extent cx="2319020" cy="1680845"/>
                  <wp:effectExtent l="0" t="0" r="508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a:xfrm>
                            <a:off x="0" y="0"/>
                            <a:ext cx="2333484" cy="1691327"/>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431" w:type="dxa"/>
            <w:shd w:val="clear" w:color="auto" w:fill="auto"/>
            <w:vAlign w:val="center"/>
          </w:tcPr>
          <w:p>
            <w:pPr>
              <w:widowControl/>
              <w:jc w:val="center"/>
              <w:rPr>
                <w:rFonts w:hint="eastAsia" w:ascii="仿宋" w:hAnsi="仿宋" w:eastAsia="仿宋" w:cs="仿宋"/>
                <w:color w:val="auto"/>
                <w:sz w:val="21"/>
                <w:szCs w:val="21"/>
              </w:rPr>
            </w:pPr>
            <w:r>
              <w:rPr>
                <w:rFonts w:hint="eastAsia" w:ascii="仿宋" w:hAnsi="仿宋" w:eastAsia="仿宋" w:cs="仿宋"/>
                <w:color w:val="auto"/>
                <w:sz w:val="21"/>
                <w:szCs w:val="21"/>
              </w:rPr>
              <w:t>2</w:t>
            </w:r>
          </w:p>
        </w:tc>
        <w:tc>
          <w:tcPr>
            <w:tcW w:w="953" w:type="dxa"/>
            <w:shd w:val="clear" w:color="auto" w:fill="auto"/>
            <w:vAlign w:val="center"/>
          </w:tcPr>
          <w:p>
            <w:pPr>
              <w:widowControl/>
              <w:jc w:val="center"/>
              <w:rPr>
                <w:rFonts w:hint="eastAsia" w:ascii="仿宋" w:hAnsi="仿宋" w:eastAsia="仿宋" w:cs="仿宋"/>
                <w:color w:val="auto"/>
                <w:sz w:val="21"/>
                <w:szCs w:val="21"/>
              </w:rPr>
            </w:pPr>
            <w:r>
              <w:rPr>
                <w:rFonts w:hint="eastAsia" w:ascii="仿宋" w:hAnsi="仿宋" w:eastAsia="仿宋" w:cs="仿宋"/>
                <w:color w:val="auto"/>
                <w:sz w:val="21"/>
                <w:szCs w:val="21"/>
              </w:rPr>
              <w:t>皮革鞣制</w:t>
            </w:r>
          </w:p>
        </w:tc>
        <w:tc>
          <w:tcPr>
            <w:tcW w:w="2064" w:type="dxa"/>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具有液压系统的机器设备</w:t>
            </w:r>
          </w:p>
        </w:tc>
        <w:tc>
          <w:tcPr>
            <w:tcW w:w="1874" w:type="dxa"/>
            <w:shd w:val="clear" w:color="auto" w:fill="auto"/>
            <w:vAlign w:val="center"/>
          </w:tcPr>
          <w:p>
            <w:pPr>
              <w:widowControl/>
              <w:rPr>
                <w:rFonts w:hint="eastAsia" w:ascii="仿宋" w:hAnsi="仿宋" w:eastAsia="仿宋" w:cs="仿宋"/>
                <w:color w:val="auto"/>
                <w:sz w:val="21"/>
                <w:szCs w:val="21"/>
              </w:rPr>
            </w:pPr>
            <w:r>
              <w:rPr>
                <w:rFonts w:hint="eastAsia" w:ascii="仿宋" w:hAnsi="仿宋" w:eastAsia="仿宋" w:cs="仿宋"/>
                <w:color w:val="auto"/>
                <w:sz w:val="21"/>
                <w:szCs w:val="21"/>
              </w:rPr>
              <w:t>承压部件压力过大导致部件超过承载压力。</w:t>
            </w:r>
          </w:p>
        </w:tc>
        <w:tc>
          <w:tcPr>
            <w:tcW w:w="2592" w:type="dxa"/>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1.应有过载保护装置，安全阀、溢流阀及管路等应定期校验或清洗。</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2.最大油压不得超过系统内使用元件的安全工作压力。</w:t>
            </w:r>
          </w:p>
        </w:tc>
        <w:tc>
          <w:tcPr>
            <w:tcW w:w="3015" w:type="dxa"/>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所使用的压力表及显示装置应清晰、灵敏、准确、可靠，并定期检验。</w:t>
            </w:r>
          </w:p>
        </w:tc>
        <w:tc>
          <w:tcPr>
            <w:tcW w:w="3965" w:type="dxa"/>
            <w:shd w:val="clear" w:color="auto" w:fill="auto"/>
            <w:vAlign w:val="center"/>
          </w:tcPr>
          <w:p>
            <w:pPr>
              <w:widowControl/>
              <w:jc w:val="center"/>
              <w:rPr>
                <w:rFonts w:hint="eastAsia" w:ascii="仿宋" w:hAnsi="仿宋" w:eastAsia="仿宋" w:cs="仿宋"/>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431" w:type="dxa"/>
            <w:shd w:val="clear" w:color="auto" w:fill="auto"/>
            <w:vAlign w:val="center"/>
          </w:tcPr>
          <w:p>
            <w:pPr>
              <w:widowControl/>
              <w:jc w:val="center"/>
              <w:rPr>
                <w:rFonts w:hint="eastAsia" w:ascii="仿宋" w:hAnsi="仿宋" w:eastAsia="仿宋" w:cs="仿宋"/>
                <w:color w:val="auto"/>
                <w:sz w:val="21"/>
                <w:szCs w:val="21"/>
              </w:rPr>
            </w:pPr>
            <w:r>
              <w:rPr>
                <w:rFonts w:hint="eastAsia" w:ascii="仿宋" w:hAnsi="仿宋" w:eastAsia="仿宋" w:cs="仿宋"/>
                <w:color w:val="auto"/>
                <w:sz w:val="21"/>
                <w:szCs w:val="21"/>
              </w:rPr>
              <w:t>3</w:t>
            </w:r>
          </w:p>
        </w:tc>
        <w:tc>
          <w:tcPr>
            <w:tcW w:w="953" w:type="dxa"/>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农副食品加工</w:t>
            </w:r>
          </w:p>
        </w:tc>
        <w:tc>
          <w:tcPr>
            <w:tcW w:w="2064" w:type="dxa"/>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肉制品加工、蔬菜加工、水果和坚果食品加工设备</w:t>
            </w:r>
          </w:p>
        </w:tc>
        <w:tc>
          <w:tcPr>
            <w:tcW w:w="1874" w:type="dxa"/>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生产加工设备配套安全设施设置不足或存在缺陷。</w:t>
            </w:r>
          </w:p>
        </w:tc>
        <w:tc>
          <w:tcPr>
            <w:tcW w:w="2592" w:type="dxa"/>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大型成套产品的通道、扶梯应设置安全扶手、护栏及防滑踏板或其他安全设施。</w:t>
            </w:r>
          </w:p>
        </w:tc>
        <w:tc>
          <w:tcPr>
            <w:tcW w:w="3015" w:type="dxa"/>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应具有标明转向、操纵、润滑、油位、安全等标志，安全色及安全标志按GB2893、GB2894的规定设置。</w:t>
            </w:r>
          </w:p>
        </w:tc>
        <w:tc>
          <w:tcPr>
            <w:tcW w:w="3965" w:type="dxa"/>
            <w:shd w:val="clear" w:color="auto" w:fill="auto"/>
            <w:vAlign w:val="center"/>
          </w:tcPr>
          <w:p>
            <w:pPr>
              <w:widowControl/>
              <w:jc w:val="center"/>
              <w:rPr>
                <w:rFonts w:hint="eastAsia" w:ascii="仿宋" w:hAnsi="仿宋" w:eastAsia="仿宋" w:cs="仿宋"/>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431" w:type="dxa"/>
            <w:shd w:val="clear" w:color="auto" w:fill="auto"/>
            <w:vAlign w:val="center"/>
          </w:tcPr>
          <w:p>
            <w:pPr>
              <w:widowControl/>
              <w:jc w:val="center"/>
              <w:rPr>
                <w:rFonts w:hint="eastAsia" w:ascii="仿宋" w:hAnsi="仿宋" w:eastAsia="仿宋" w:cs="仿宋"/>
                <w:color w:val="auto"/>
                <w:sz w:val="21"/>
                <w:szCs w:val="21"/>
              </w:rPr>
            </w:pPr>
            <w:r>
              <w:rPr>
                <w:rFonts w:hint="eastAsia" w:ascii="仿宋" w:hAnsi="仿宋" w:eastAsia="仿宋" w:cs="仿宋"/>
                <w:color w:val="auto"/>
                <w:sz w:val="21"/>
                <w:szCs w:val="21"/>
              </w:rPr>
              <w:t>4</w:t>
            </w:r>
          </w:p>
        </w:tc>
        <w:tc>
          <w:tcPr>
            <w:tcW w:w="953" w:type="dxa"/>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食品制造业</w:t>
            </w:r>
          </w:p>
        </w:tc>
        <w:tc>
          <w:tcPr>
            <w:tcW w:w="2064" w:type="dxa"/>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食品加工设备梯台</w:t>
            </w:r>
          </w:p>
        </w:tc>
        <w:tc>
          <w:tcPr>
            <w:tcW w:w="1874" w:type="dxa"/>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1.设备防护措施设置不全或失效。</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2.员工操作过程误操作导致物体打击。</w:t>
            </w:r>
          </w:p>
        </w:tc>
        <w:tc>
          <w:tcPr>
            <w:tcW w:w="2592" w:type="dxa"/>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1.备有梯子和操作平台的设备，台面及梯子踏板材料、构造应具有防滑性能，与塔壁、罐壁平行的梯子应设置等距踏条，踏条的安装、固定、间距应满足《食品机械安全卫生》GB16798-1997的相关要求。</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2.梯子在高度3米以上部位设置安全护栏，操作平台设置护栏。护栏高度不低于1.05m。</w:t>
            </w:r>
          </w:p>
        </w:tc>
        <w:tc>
          <w:tcPr>
            <w:tcW w:w="3015" w:type="dxa"/>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1.加强检查，保障措施落实。</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2.禁止抛掷物品，严禁高处抛物。</w:t>
            </w:r>
          </w:p>
        </w:tc>
        <w:tc>
          <w:tcPr>
            <w:tcW w:w="3965" w:type="dxa"/>
            <w:shd w:val="clear" w:color="auto" w:fill="auto"/>
            <w:vAlign w:val="center"/>
          </w:tcPr>
          <w:p>
            <w:pPr>
              <w:widowControl/>
              <w:jc w:val="center"/>
              <w:rPr>
                <w:rFonts w:hint="eastAsia" w:ascii="仿宋" w:hAnsi="仿宋" w:eastAsia="仿宋" w:cs="仿宋"/>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431" w:type="dxa"/>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5</w:t>
            </w:r>
          </w:p>
        </w:tc>
        <w:tc>
          <w:tcPr>
            <w:tcW w:w="953" w:type="dxa"/>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印刷和记录媒介复制业</w:t>
            </w:r>
          </w:p>
        </w:tc>
        <w:tc>
          <w:tcPr>
            <w:tcW w:w="2064" w:type="dxa"/>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印刷、上光单元</w:t>
            </w:r>
          </w:p>
        </w:tc>
        <w:tc>
          <w:tcPr>
            <w:tcW w:w="1874" w:type="dxa"/>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1.物料堆放区域防护设施不全。</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2.操作人员未经安全教育培训或违反操作规程、误操作。</w:t>
            </w:r>
          </w:p>
        </w:tc>
        <w:tc>
          <w:tcPr>
            <w:tcW w:w="2592" w:type="dxa"/>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1.每天装、卸起重负荷至少为25kg的机器部件的地方应配备适当的提升装置。</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2.高度超过1.5m、间隔超过70mm的平台，应配备挡脚板作为最低保护措施。</w:t>
            </w:r>
          </w:p>
        </w:tc>
        <w:tc>
          <w:tcPr>
            <w:tcW w:w="3015" w:type="dxa"/>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较低位置的机器部件，不利的身体姿势造成难以抬起机器部件时，应使用提升装置。</w:t>
            </w:r>
          </w:p>
        </w:tc>
        <w:tc>
          <w:tcPr>
            <w:tcW w:w="3965" w:type="dxa"/>
            <w:shd w:val="clear" w:color="auto" w:fill="auto"/>
            <w:vAlign w:val="center"/>
          </w:tcPr>
          <w:p>
            <w:pPr>
              <w:widowControl/>
              <w:jc w:val="center"/>
              <w:rPr>
                <w:rFonts w:hint="eastAsia" w:ascii="仿宋" w:hAnsi="仿宋" w:eastAsia="仿宋" w:cs="仿宋"/>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431" w:type="dxa"/>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6</w:t>
            </w:r>
          </w:p>
        </w:tc>
        <w:tc>
          <w:tcPr>
            <w:tcW w:w="953" w:type="dxa"/>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印刷和记录媒介复制业</w:t>
            </w:r>
          </w:p>
        </w:tc>
        <w:tc>
          <w:tcPr>
            <w:tcW w:w="2064" w:type="dxa"/>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纸堆翻转、升降装置</w:t>
            </w:r>
          </w:p>
        </w:tc>
        <w:tc>
          <w:tcPr>
            <w:tcW w:w="1874" w:type="dxa"/>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设备安全防护装置缺失或故障。</w:t>
            </w:r>
          </w:p>
        </w:tc>
        <w:tc>
          <w:tcPr>
            <w:tcW w:w="2592" w:type="dxa"/>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1.纸堆翻转装置的液压和气动提升装置上，提升缸上应设置一个安全止回阀。</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2.操作者控制翻转装置的每个位置等应安装急停按钮。</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3.在产品幅面大于2.5㎡的纸堆升降装置上，托纸板以下区域应设置防护罩或电敏防护装置进行防护。</w:t>
            </w:r>
          </w:p>
        </w:tc>
        <w:tc>
          <w:tcPr>
            <w:tcW w:w="3015" w:type="dxa"/>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1.纸堆在垂直或水平位置上时，提升装置才能开启。</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2.提升装置最大载荷量应满足静态载荷的1.25倍，正常操作条件下最大载荷量应能达到1.1倍动态测试。</w:t>
            </w:r>
          </w:p>
        </w:tc>
        <w:tc>
          <w:tcPr>
            <w:tcW w:w="3965" w:type="dxa"/>
            <w:shd w:val="clear" w:color="auto" w:fill="auto"/>
            <w:vAlign w:val="center"/>
          </w:tcPr>
          <w:p>
            <w:pPr>
              <w:widowControl/>
              <w:jc w:val="center"/>
              <w:rPr>
                <w:rFonts w:hint="eastAsia" w:ascii="仿宋" w:hAnsi="仿宋" w:eastAsia="仿宋" w:cs="仿宋"/>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431" w:type="dxa"/>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7</w:t>
            </w:r>
          </w:p>
        </w:tc>
        <w:tc>
          <w:tcPr>
            <w:tcW w:w="953" w:type="dxa"/>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造纸和纸制品业</w:t>
            </w:r>
          </w:p>
        </w:tc>
        <w:tc>
          <w:tcPr>
            <w:tcW w:w="2064" w:type="dxa"/>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纸浆造纸设备（原木放料斗）</w:t>
            </w:r>
          </w:p>
        </w:tc>
        <w:tc>
          <w:tcPr>
            <w:tcW w:w="1874" w:type="dxa"/>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原木放料斗超量导致物料外逸导致物体打击。</w:t>
            </w:r>
          </w:p>
        </w:tc>
        <w:tc>
          <w:tcPr>
            <w:tcW w:w="2592" w:type="dxa"/>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1.原木放料斗应设置限位报警装置。</w:t>
            </w:r>
          </w:p>
        </w:tc>
        <w:tc>
          <w:tcPr>
            <w:tcW w:w="3015" w:type="dxa"/>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1.正确佩戴安全帽、防护目镜等防打击劳保用品。</w:t>
            </w:r>
          </w:p>
        </w:tc>
        <w:tc>
          <w:tcPr>
            <w:tcW w:w="3965" w:type="dxa"/>
            <w:shd w:val="clear" w:color="auto" w:fill="auto"/>
            <w:vAlign w:val="center"/>
          </w:tcPr>
          <w:p>
            <w:pPr>
              <w:widowControl/>
              <w:jc w:val="center"/>
              <w:rPr>
                <w:rFonts w:hint="eastAsia" w:ascii="仿宋" w:hAnsi="仿宋" w:eastAsia="仿宋" w:cs="仿宋"/>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431" w:type="dxa"/>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8</w:t>
            </w:r>
          </w:p>
        </w:tc>
        <w:tc>
          <w:tcPr>
            <w:tcW w:w="953" w:type="dxa"/>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造纸和纸制品业</w:t>
            </w:r>
          </w:p>
        </w:tc>
        <w:tc>
          <w:tcPr>
            <w:tcW w:w="2064" w:type="dxa"/>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纸张加工机械（上料、提升设备）</w:t>
            </w:r>
          </w:p>
        </w:tc>
        <w:tc>
          <w:tcPr>
            <w:tcW w:w="1874" w:type="dxa"/>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操作人员未经安全教育培训或违反操作规程、误操作导致物体打击。</w:t>
            </w:r>
          </w:p>
        </w:tc>
        <w:tc>
          <w:tcPr>
            <w:tcW w:w="2592" w:type="dxa"/>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为防止开卷传动皮带意外脱落,应在提升臂上配备皮带安全调节检测装置。</w:t>
            </w:r>
          </w:p>
        </w:tc>
        <w:tc>
          <w:tcPr>
            <w:tcW w:w="3015" w:type="dxa"/>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1.加强员工教育培训。</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2.加强员工行为观察。</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3.正确佩戴安全帽、防护目镜等防打击劳保用品。</w:t>
            </w:r>
          </w:p>
        </w:tc>
        <w:tc>
          <w:tcPr>
            <w:tcW w:w="3965" w:type="dxa"/>
            <w:shd w:val="clear" w:color="auto" w:fill="auto"/>
            <w:vAlign w:val="center"/>
          </w:tcPr>
          <w:p>
            <w:pPr>
              <w:widowControl/>
              <w:jc w:val="center"/>
              <w:rPr>
                <w:rFonts w:hint="eastAsia" w:ascii="仿宋" w:hAnsi="仿宋" w:eastAsia="仿宋" w:cs="仿宋"/>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431" w:type="dxa"/>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9</w:t>
            </w:r>
          </w:p>
        </w:tc>
        <w:tc>
          <w:tcPr>
            <w:tcW w:w="953" w:type="dxa"/>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造纸和纸制品业</w:t>
            </w:r>
          </w:p>
        </w:tc>
        <w:tc>
          <w:tcPr>
            <w:tcW w:w="2064" w:type="dxa"/>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瓦楞纸机械（活动压台、传动设备、支撑设备）</w:t>
            </w:r>
          </w:p>
        </w:tc>
        <w:tc>
          <w:tcPr>
            <w:tcW w:w="1874" w:type="dxa"/>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操作人员未经安全教育培训或违反操作规程、误操作导致物体打击。</w:t>
            </w:r>
          </w:p>
        </w:tc>
        <w:tc>
          <w:tcPr>
            <w:tcW w:w="2592" w:type="dxa"/>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1.采用安全阀控制液压和气缸进行安全防护，防止通过无动力驱动的移动或因重力而下落导致事故。</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2.开卷卷轴应被安全的支撑。对于悬臂式卷轴,应配备机械设置(例如：开口销)避免辊子坠落。</w:t>
            </w:r>
          </w:p>
        </w:tc>
        <w:tc>
          <w:tcPr>
            <w:tcW w:w="3015" w:type="dxa"/>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当防护装置打开时,不准许更换工具(例如模切装置或断开部分下方部件)或移动部件的位置。</w:t>
            </w:r>
          </w:p>
        </w:tc>
        <w:tc>
          <w:tcPr>
            <w:tcW w:w="3965" w:type="dxa"/>
            <w:shd w:val="clear" w:color="auto" w:fill="auto"/>
            <w:vAlign w:val="center"/>
          </w:tcPr>
          <w:p>
            <w:pPr>
              <w:widowControl/>
              <w:jc w:val="center"/>
              <w:rPr>
                <w:rFonts w:hint="eastAsia" w:ascii="仿宋" w:hAnsi="仿宋" w:eastAsia="仿宋" w:cs="仿宋"/>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431" w:type="dxa"/>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10</w:t>
            </w:r>
          </w:p>
        </w:tc>
        <w:tc>
          <w:tcPr>
            <w:tcW w:w="953" w:type="dxa"/>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橡胶和塑料制品业</w:t>
            </w:r>
          </w:p>
        </w:tc>
        <w:tc>
          <w:tcPr>
            <w:tcW w:w="2064" w:type="dxa"/>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橡胶制品机械（物料提升和输送机械、梯台等）</w:t>
            </w:r>
          </w:p>
        </w:tc>
        <w:tc>
          <w:tcPr>
            <w:tcW w:w="1874" w:type="dxa"/>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1.设备防护设施缺失或设置不足、故障。</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2.操作人员需经常或规律的进入危险区域，安全防护设施不全导致物体打击。</w:t>
            </w:r>
          </w:p>
        </w:tc>
        <w:tc>
          <w:tcPr>
            <w:tcW w:w="2592" w:type="dxa"/>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1.垂直运输不应采用以卷扬机或电动葫芦为驱动装置的简易吊笼或简易电梯。</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2.桁架机械手、轻型悬挂输送机等用于空中输送设备，设备运行下方应设置安全护网。</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3.橡胶工厂楼梯、设备安装或操作平台、地坑、池和孔洞，应设置防错位盖板或防护栏杆。楼梯、平台均应采取防滑、防坠落措施。</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4.烟囱、冷却塔等设施的人孔处，应设置检修平台及活动栏杆。</w:t>
            </w:r>
          </w:p>
        </w:tc>
        <w:tc>
          <w:tcPr>
            <w:tcW w:w="3015" w:type="dxa"/>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1.设置显著的安全警示标识。</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2.制定简单易行的安全操作要点及应急处置办法，并监督员工执行。</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3.定期维护保养设备设施及检查防护设施是否有效。</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4.正确佩戴安全帽、防护目镜等防打击劳保用品。</w:t>
            </w:r>
          </w:p>
        </w:tc>
        <w:tc>
          <w:tcPr>
            <w:tcW w:w="3965" w:type="dxa"/>
            <w:shd w:val="clear" w:color="auto" w:fill="auto"/>
            <w:vAlign w:val="center"/>
          </w:tcPr>
          <w:p>
            <w:pPr>
              <w:widowControl/>
              <w:jc w:val="center"/>
              <w:rPr>
                <w:rFonts w:hint="eastAsia" w:ascii="仿宋" w:hAnsi="仿宋" w:eastAsia="仿宋" w:cs="仿宋"/>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431" w:type="dxa"/>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11</w:t>
            </w:r>
          </w:p>
        </w:tc>
        <w:tc>
          <w:tcPr>
            <w:tcW w:w="953" w:type="dxa"/>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橡胶和塑料制品业</w:t>
            </w:r>
          </w:p>
        </w:tc>
        <w:tc>
          <w:tcPr>
            <w:tcW w:w="2064" w:type="dxa"/>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塑料制品企业生产设备（物料提升和输送机械、梯台等）</w:t>
            </w:r>
          </w:p>
        </w:tc>
        <w:tc>
          <w:tcPr>
            <w:tcW w:w="1874" w:type="dxa"/>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1.设备防护设施缺失或设置不足、故障。</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2.操作人员需经常或规律的进入危险区域，安全防护设施不全导致物体打击。</w:t>
            </w:r>
          </w:p>
        </w:tc>
        <w:tc>
          <w:tcPr>
            <w:tcW w:w="2592" w:type="dxa"/>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1.升降口和走台应设置围栏。</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2.平台、架空人行通道、坑、池、升降口、安装孔等有可能发生物体打击、坠落的地点和场所，设置栏杆、围栏或盖板。</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3.操作人员进行作业、维护、调节的工作位置在坠落基准面2m以上的，设置供操作的平台和防坠落栏杆、安全圈和防护板。直梯、斜梯、栏杆、平台的设置应符合GB4053的要求。</w:t>
            </w:r>
          </w:p>
        </w:tc>
        <w:tc>
          <w:tcPr>
            <w:tcW w:w="3015" w:type="dxa"/>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物料的运输宜采用机械化方法，人工搬运时应符合《体力搬运重量限制》GB12330的要求。</w:t>
            </w:r>
          </w:p>
        </w:tc>
        <w:tc>
          <w:tcPr>
            <w:tcW w:w="3965" w:type="dxa"/>
            <w:shd w:val="clear" w:color="auto" w:fill="auto"/>
            <w:vAlign w:val="center"/>
          </w:tcPr>
          <w:p>
            <w:pPr>
              <w:widowControl/>
              <w:jc w:val="center"/>
              <w:rPr>
                <w:rFonts w:hint="eastAsia" w:ascii="仿宋" w:hAnsi="仿宋" w:eastAsia="仿宋" w:cs="仿宋"/>
                <w:color w:val="auto"/>
                <w:sz w:val="21"/>
                <w:szCs w:val="21"/>
              </w:rPr>
            </w:pPr>
          </w:p>
        </w:tc>
      </w:tr>
    </w:tbl>
    <w:p>
      <w:pPr>
        <w:rPr>
          <w:rFonts w:ascii="宋体" w:hAnsi="宋体" w:eastAsia="宋体"/>
          <w:color w:val="auto"/>
          <w:sz w:val="28"/>
          <w:szCs w:val="32"/>
        </w:rPr>
      </w:pPr>
    </w:p>
    <w:p>
      <w:pPr>
        <w:rPr>
          <w:rFonts w:ascii="宋体" w:hAnsi="宋体" w:eastAsia="宋体"/>
          <w:color w:val="auto"/>
          <w:sz w:val="28"/>
          <w:szCs w:val="32"/>
        </w:rPr>
      </w:pPr>
      <w:r>
        <w:rPr>
          <w:rFonts w:ascii="宋体" w:hAnsi="宋体" w:eastAsia="宋体"/>
          <w:color w:val="auto"/>
          <w:sz w:val="28"/>
          <w:szCs w:val="32"/>
        </w:rPr>
        <w:br w:type="page"/>
      </w:r>
    </w:p>
    <w:p>
      <w:pPr>
        <w:rPr>
          <w:rFonts w:hint="eastAsia" w:ascii="楷体_GB2312" w:hAnsi="楷体_GB2312" w:eastAsia="楷体_GB2312" w:cs="楷体_GB2312"/>
          <w:color w:val="auto"/>
          <w:sz w:val="28"/>
          <w:szCs w:val="32"/>
        </w:rPr>
      </w:pPr>
      <w:r>
        <w:rPr>
          <w:rFonts w:hint="eastAsia" w:ascii="楷体_GB2312" w:hAnsi="楷体_GB2312" w:eastAsia="楷体_GB2312" w:cs="楷体_GB2312"/>
          <w:color w:val="auto"/>
          <w:sz w:val="28"/>
          <w:szCs w:val="32"/>
        </w:rPr>
        <w:t>7.纺织行业典型物体打击事故管控措施</w:t>
      </w:r>
    </w:p>
    <w:tbl>
      <w:tblPr>
        <w:tblStyle w:val="4"/>
        <w:tblW w:w="1489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31"/>
        <w:gridCol w:w="953"/>
        <w:gridCol w:w="2064"/>
        <w:gridCol w:w="1874"/>
        <w:gridCol w:w="2592"/>
        <w:gridCol w:w="3015"/>
        <w:gridCol w:w="396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431" w:type="dxa"/>
            <w:shd w:val="clear" w:color="auto" w:fill="auto"/>
            <w:vAlign w:val="center"/>
          </w:tcPr>
          <w:p>
            <w:pPr>
              <w:widowControl/>
              <w:jc w:val="center"/>
              <w:rPr>
                <w:rFonts w:hint="eastAsia" w:ascii="黑体" w:hAnsi="黑体" w:eastAsia="黑体" w:cs="黑体"/>
                <w:color w:val="auto"/>
                <w:sz w:val="21"/>
                <w:szCs w:val="21"/>
              </w:rPr>
            </w:pPr>
            <w:r>
              <w:rPr>
                <w:rFonts w:hint="eastAsia" w:ascii="黑体" w:hAnsi="黑体" w:eastAsia="黑体" w:cs="黑体"/>
                <w:color w:val="auto"/>
                <w:sz w:val="21"/>
                <w:szCs w:val="21"/>
              </w:rPr>
              <w:t>序号</w:t>
            </w:r>
          </w:p>
        </w:tc>
        <w:tc>
          <w:tcPr>
            <w:tcW w:w="953" w:type="dxa"/>
            <w:shd w:val="clear" w:color="auto" w:fill="auto"/>
            <w:vAlign w:val="center"/>
          </w:tcPr>
          <w:p>
            <w:pPr>
              <w:widowControl/>
              <w:jc w:val="center"/>
              <w:rPr>
                <w:rFonts w:hint="eastAsia" w:ascii="黑体" w:hAnsi="黑体" w:eastAsia="黑体" w:cs="黑体"/>
                <w:color w:val="auto"/>
                <w:sz w:val="21"/>
                <w:szCs w:val="21"/>
              </w:rPr>
            </w:pPr>
            <w:r>
              <w:rPr>
                <w:rFonts w:hint="eastAsia" w:ascii="黑体" w:hAnsi="黑体" w:eastAsia="黑体" w:cs="黑体"/>
                <w:color w:val="auto"/>
                <w:sz w:val="21"/>
                <w:szCs w:val="21"/>
              </w:rPr>
              <w:t>中类行业名称</w:t>
            </w:r>
          </w:p>
        </w:tc>
        <w:tc>
          <w:tcPr>
            <w:tcW w:w="2064" w:type="dxa"/>
            <w:shd w:val="clear" w:color="auto" w:fill="auto"/>
            <w:vAlign w:val="center"/>
          </w:tcPr>
          <w:p>
            <w:pPr>
              <w:widowControl/>
              <w:jc w:val="center"/>
              <w:rPr>
                <w:rFonts w:hint="eastAsia" w:ascii="黑体" w:hAnsi="黑体" w:eastAsia="黑体" w:cs="黑体"/>
                <w:color w:val="auto"/>
                <w:sz w:val="21"/>
                <w:szCs w:val="21"/>
              </w:rPr>
            </w:pPr>
            <w:r>
              <w:rPr>
                <w:rFonts w:hint="eastAsia" w:ascii="黑体" w:hAnsi="黑体" w:eastAsia="黑体" w:cs="黑体"/>
                <w:color w:val="auto"/>
                <w:sz w:val="21"/>
                <w:szCs w:val="21"/>
              </w:rPr>
              <w:t>典型设备设施或作业活动举例</w:t>
            </w:r>
          </w:p>
        </w:tc>
        <w:tc>
          <w:tcPr>
            <w:tcW w:w="1874" w:type="dxa"/>
            <w:shd w:val="clear" w:color="auto" w:fill="auto"/>
            <w:vAlign w:val="center"/>
          </w:tcPr>
          <w:p>
            <w:pPr>
              <w:widowControl/>
              <w:jc w:val="center"/>
              <w:rPr>
                <w:rFonts w:hint="eastAsia" w:ascii="黑体" w:hAnsi="黑体" w:eastAsia="黑体" w:cs="黑体"/>
                <w:color w:val="auto"/>
                <w:sz w:val="21"/>
                <w:szCs w:val="21"/>
              </w:rPr>
            </w:pPr>
            <w:r>
              <w:rPr>
                <w:rFonts w:hint="eastAsia" w:ascii="黑体" w:hAnsi="黑体" w:eastAsia="黑体" w:cs="黑体"/>
                <w:color w:val="auto"/>
                <w:sz w:val="21"/>
                <w:szCs w:val="21"/>
              </w:rPr>
              <w:t>事故原因</w:t>
            </w:r>
          </w:p>
        </w:tc>
        <w:tc>
          <w:tcPr>
            <w:tcW w:w="2592" w:type="dxa"/>
            <w:shd w:val="clear" w:color="auto" w:fill="auto"/>
            <w:vAlign w:val="center"/>
          </w:tcPr>
          <w:p>
            <w:pPr>
              <w:widowControl/>
              <w:jc w:val="center"/>
              <w:rPr>
                <w:rFonts w:hint="eastAsia" w:ascii="黑体" w:hAnsi="黑体" w:eastAsia="黑体" w:cs="黑体"/>
                <w:color w:val="auto"/>
                <w:sz w:val="21"/>
                <w:szCs w:val="21"/>
              </w:rPr>
            </w:pPr>
            <w:r>
              <w:rPr>
                <w:rFonts w:hint="eastAsia" w:ascii="黑体" w:hAnsi="黑体" w:eastAsia="黑体" w:cs="黑体"/>
                <w:color w:val="auto"/>
                <w:sz w:val="21"/>
                <w:szCs w:val="21"/>
              </w:rPr>
              <w:t>典型工程技术措施</w:t>
            </w:r>
          </w:p>
        </w:tc>
        <w:tc>
          <w:tcPr>
            <w:tcW w:w="3015" w:type="dxa"/>
            <w:shd w:val="clear" w:color="auto" w:fill="auto"/>
            <w:vAlign w:val="center"/>
          </w:tcPr>
          <w:p>
            <w:pPr>
              <w:widowControl/>
              <w:jc w:val="center"/>
              <w:rPr>
                <w:rFonts w:hint="eastAsia" w:ascii="黑体" w:hAnsi="黑体" w:eastAsia="黑体" w:cs="黑体"/>
                <w:color w:val="auto"/>
                <w:sz w:val="21"/>
                <w:szCs w:val="21"/>
              </w:rPr>
            </w:pPr>
            <w:r>
              <w:rPr>
                <w:rFonts w:hint="eastAsia" w:ascii="黑体" w:hAnsi="黑体" w:eastAsia="黑体" w:cs="黑体"/>
                <w:color w:val="auto"/>
                <w:sz w:val="21"/>
                <w:szCs w:val="21"/>
              </w:rPr>
              <w:t>典型的管理措施</w:t>
            </w:r>
          </w:p>
        </w:tc>
        <w:tc>
          <w:tcPr>
            <w:tcW w:w="3965" w:type="dxa"/>
            <w:shd w:val="clear" w:color="auto" w:fill="auto"/>
            <w:vAlign w:val="center"/>
          </w:tcPr>
          <w:p>
            <w:pPr>
              <w:widowControl/>
              <w:jc w:val="center"/>
              <w:rPr>
                <w:rFonts w:hint="eastAsia" w:ascii="黑体" w:hAnsi="黑体" w:eastAsia="黑体" w:cs="黑体"/>
                <w:color w:val="auto"/>
                <w:sz w:val="21"/>
                <w:szCs w:val="21"/>
              </w:rPr>
            </w:pPr>
            <w:r>
              <w:rPr>
                <w:rFonts w:hint="eastAsia" w:ascii="黑体" w:hAnsi="黑体" w:eastAsia="黑体" w:cs="黑体"/>
                <w:color w:val="auto"/>
                <w:sz w:val="21"/>
                <w:szCs w:val="21"/>
              </w:rPr>
              <w:t>好的做法示例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431" w:type="dxa"/>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1</w:t>
            </w:r>
          </w:p>
        </w:tc>
        <w:tc>
          <w:tcPr>
            <w:tcW w:w="953" w:type="dxa"/>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棉纺织及印染精加工</w:t>
            </w:r>
          </w:p>
        </w:tc>
        <w:tc>
          <w:tcPr>
            <w:tcW w:w="2064" w:type="dxa"/>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染色（高温染罐）</w:t>
            </w:r>
          </w:p>
        </w:tc>
        <w:tc>
          <w:tcPr>
            <w:tcW w:w="1874" w:type="dxa"/>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染罐未完全泄压情况下开启。</w:t>
            </w:r>
          </w:p>
        </w:tc>
        <w:tc>
          <w:tcPr>
            <w:tcW w:w="2592" w:type="dxa"/>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加强设备巡查、检查。</w:t>
            </w:r>
          </w:p>
        </w:tc>
        <w:tc>
          <w:tcPr>
            <w:tcW w:w="3015" w:type="dxa"/>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1.特种作业人员持证上岗。</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2.制定并严格执行特种设备安全管理制度和操作规程。</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3.特种设备定期检验检测。</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4.定期组织对设备进行安全检查并做好记录。</w:t>
            </w:r>
          </w:p>
        </w:tc>
        <w:tc>
          <w:tcPr>
            <w:tcW w:w="3965" w:type="dxa"/>
            <w:shd w:val="clear" w:color="auto" w:fill="auto"/>
            <w:vAlign w:val="center"/>
          </w:tcPr>
          <w:p>
            <w:pPr>
              <w:widowControl/>
              <w:jc w:val="center"/>
              <w:rPr>
                <w:rFonts w:hint="eastAsia" w:ascii="仿宋" w:hAnsi="仿宋" w:eastAsia="仿宋" w:cs="仿宋"/>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431" w:type="dxa"/>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2</w:t>
            </w:r>
          </w:p>
        </w:tc>
        <w:tc>
          <w:tcPr>
            <w:tcW w:w="953" w:type="dxa"/>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棉纺织及印染精加工</w:t>
            </w:r>
          </w:p>
        </w:tc>
        <w:tc>
          <w:tcPr>
            <w:tcW w:w="2064" w:type="dxa"/>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装卸作业</w:t>
            </w:r>
          </w:p>
        </w:tc>
        <w:tc>
          <w:tcPr>
            <w:tcW w:w="1874" w:type="dxa"/>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堆垛或车辆上部进行高处作业未采取防护措施。</w:t>
            </w:r>
          </w:p>
        </w:tc>
        <w:tc>
          <w:tcPr>
            <w:tcW w:w="2592" w:type="dxa"/>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配备、正确使用合适的防护装备，例如安全带及其挂点或地面防护软垫等。</w:t>
            </w:r>
          </w:p>
        </w:tc>
        <w:tc>
          <w:tcPr>
            <w:tcW w:w="3015" w:type="dxa"/>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1.建立并严格执行相应的规章制度和操作规程。</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2.对操作人员加强培训。</w:t>
            </w:r>
          </w:p>
        </w:tc>
        <w:tc>
          <w:tcPr>
            <w:tcW w:w="3965" w:type="dxa"/>
            <w:shd w:val="clear" w:color="auto" w:fill="auto"/>
            <w:vAlign w:val="center"/>
          </w:tcPr>
          <w:p>
            <w:pPr>
              <w:widowControl/>
              <w:jc w:val="center"/>
              <w:rPr>
                <w:rFonts w:hint="eastAsia" w:ascii="仿宋" w:hAnsi="仿宋" w:eastAsia="仿宋" w:cs="仿宋"/>
                <w:color w:val="auto"/>
                <w:sz w:val="21"/>
                <w:szCs w:val="21"/>
              </w:rPr>
            </w:pPr>
          </w:p>
        </w:tc>
      </w:tr>
    </w:tbl>
    <w:p>
      <w:pPr>
        <w:rPr>
          <w:rFonts w:hint="eastAsia" w:ascii="宋体" w:hAnsi="宋体" w:eastAsia="宋体"/>
          <w:color w:val="auto"/>
          <w:sz w:val="28"/>
          <w:szCs w:val="32"/>
        </w:rPr>
      </w:pPr>
    </w:p>
    <w:bookmarkEnd w:id="0"/>
    <w:sectPr>
      <w:pgSz w:w="16838" w:h="11906" w:orient="landscape"/>
      <w:pgMar w:top="1440" w:right="1080" w:bottom="1440" w:left="108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7A"/>
    <w:family w:val="auto"/>
    <w:pitch w:val="default"/>
    <w:sig w:usb0="E0002EFF" w:usb1="C000785B" w:usb2="00000009" w:usb3="00000000" w:csb0="400001FF" w:csb1="FFFF0000"/>
  </w:font>
  <w:font w:name="宋体">
    <w:panose1 w:val="02010600030101010101"/>
    <w:charset w:val="7A"/>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等线">
    <w:panose1 w:val="02010600030101010101"/>
    <w:charset w:val="86"/>
    <w:family w:val="auto"/>
    <w:pitch w:val="default"/>
    <w:sig w:usb0="A00002BF" w:usb1="38CF7CFA" w:usb2="00000016" w:usb3="00000000" w:csb0="0004000F" w:csb1="00000000"/>
  </w:font>
  <w:font w:name="文星仿宋">
    <w:altName w:val="仿宋"/>
    <w:panose1 w:val="02010609000101010101"/>
    <w:charset w:val="86"/>
    <w:family w:val="modern"/>
    <w:pitch w:val="default"/>
    <w:sig w:usb0="00000000" w:usb1="00000000" w:usb2="00000010" w:usb3="00000000" w:csb0="00040000" w:csb1="00000000"/>
  </w:font>
  <w:font w:name="仿宋">
    <w:panose1 w:val="02010609060101010101"/>
    <w:charset w:val="86"/>
    <w:family w:val="auto"/>
    <w:pitch w:val="default"/>
    <w:sig w:usb0="800002BF" w:usb1="38CF7CFA" w:usb2="00000016" w:usb3="00000000" w:csb0="00040001" w:csb1="00000000"/>
  </w:font>
  <w:font w:name="方正小标宋简体">
    <w:altName w:val="Arial Unicode MS"/>
    <w:panose1 w:val="03000509000000000000"/>
    <w:charset w:val="86"/>
    <w:family w:val="auto"/>
    <w:pitch w:val="default"/>
    <w:sig w:usb0="00000000" w:usb1="00000000" w:usb2="00000000" w:usb3="00000000" w:csb0="00040000" w:csb1="00000000"/>
  </w:font>
  <w:font w:name="Arial Unicode MS">
    <w:panose1 w:val="020B0604020202020204"/>
    <w:charset w:val="86"/>
    <w:family w:val="auto"/>
    <w:pitch w:val="default"/>
    <w:sig w:usb0="FFFFFFFF" w:usb1="E9FFFFFF" w:usb2="0000003F" w:usb3="00000000" w:csb0="603F01FF" w:csb1="FFFF0000"/>
  </w:font>
  <w:font w:name="楷体_GB2312">
    <w:panose1 w:val="02010609030101010101"/>
    <w:charset w:val="86"/>
    <w:family w:val="auto"/>
    <w:pitch w:val="default"/>
    <w:sig w:usb0="00000001" w:usb1="080E0000" w:usb2="00000000" w:usb3="00000000" w:csb0="00040000" w:csb1="00000000"/>
  </w:font>
  <w:font w:name="仿宋_GB2312">
    <w:panose1 w:val="02010609030101010101"/>
    <w:charset w:val="86"/>
    <w:family w:val="auto"/>
    <w:pitch w:val="default"/>
    <w:sig w:usb0="00000001" w:usb1="080E0000" w:usb2="00000000" w:usb3="00000000" w:csb0="00040000"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0"/>
  <w:bordersDoNotSurroundHeader w:val="0"/>
  <w:bordersDoNotSurroundFooter w:val="0"/>
  <w:documentProtection w:enforcement="0"/>
  <w:defaultTabStop w:val="420"/>
  <w:drawingGridHorizontalSpacing w:val="105"/>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NjUzNTY5ODQ4YzQwYTcwZmNjY2Y5ZDJiZjcyZjM3NGQifQ=="/>
  </w:docVars>
  <w:rsids>
    <w:rsidRoot w:val="00981F6C"/>
    <w:rsid w:val="00002B1D"/>
    <w:rsid w:val="0002621B"/>
    <w:rsid w:val="000819AC"/>
    <w:rsid w:val="00097810"/>
    <w:rsid w:val="000C34A8"/>
    <w:rsid w:val="000E0AA4"/>
    <w:rsid w:val="000F2B5D"/>
    <w:rsid w:val="000F4406"/>
    <w:rsid w:val="000F55BE"/>
    <w:rsid w:val="001172AD"/>
    <w:rsid w:val="001710F0"/>
    <w:rsid w:val="00174B5E"/>
    <w:rsid w:val="001834F2"/>
    <w:rsid w:val="001D1C63"/>
    <w:rsid w:val="002112F9"/>
    <w:rsid w:val="00221EB6"/>
    <w:rsid w:val="002477A2"/>
    <w:rsid w:val="00260E88"/>
    <w:rsid w:val="002A7803"/>
    <w:rsid w:val="003016F5"/>
    <w:rsid w:val="003363AE"/>
    <w:rsid w:val="00391840"/>
    <w:rsid w:val="003B35B2"/>
    <w:rsid w:val="003E054E"/>
    <w:rsid w:val="00433C3D"/>
    <w:rsid w:val="004407CC"/>
    <w:rsid w:val="00440DDB"/>
    <w:rsid w:val="004F148E"/>
    <w:rsid w:val="00515BA4"/>
    <w:rsid w:val="00517515"/>
    <w:rsid w:val="005345E7"/>
    <w:rsid w:val="00567C9C"/>
    <w:rsid w:val="005B1E54"/>
    <w:rsid w:val="005C6A4A"/>
    <w:rsid w:val="005F4959"/>
    <w:rsid w:val="006543B2"/>
    <w:rsid w:val="00662E58"/>
    <w:rsid w:val="006A5256"/>
    <w:rsid w:val="006B25E8"/>
    <w:rsid w:val="006D2CF7"/>
    <w:rsid w:val="006E4CF0"/>
    <w:rsid w:val="00730020"/>
    <w:rsid w:val="00737028"/>
    <w:rsid w:val="0078347A"/>
    <w:rsid w:val="0078431F"/>
    <w:rsid w:val="00870933"/>
    <w:rsid w:val="00872C36"/>
    <w:rsid w:val="0088671C"/>
    <w:rsid w:val="008C097F"/>
    <w:rsid w:val="008E2E44"/>
    <w:rsid w:val="008F353A"/>
    <w:rsid w:val="009062AC"/>
    <w:rsid w:val="00931569"/>
    <w:rsid w:val="00954AD5"/>
    <w:rsid w:val="00981F6C"/>
    <w:rsid w:val="00982421"/>
    <w:rsid w:val="00A329EF"/>
    <w:rsid w:val="00A42FA3"/>
    <w:rsid w:val="00AB211E"/>
    <w:rsid w:val="00AB22EF"/>
    <w:rsid w:val="00AC292B"/>
    <w:rsid w:val="00AD118B"/>
    <w:rsid w:val="00AF0E5A"/>
    <w:rsid w:val="00B02778"/>
    <w:rsid w:val="00B15E23"/>
    <w:rsid w:val="00B64AB3"/>
    <w:rsid w:val="00B66326"/>
    <w:rsid w:val="00BD055B"/>
    <w:rsid w:val="00BD0EF7"/>
    <w:rsid w:val="00BD159C"/>
    <w:rsid w:val="00BF400A"/>
    <w:rsid w:val="00C2670F"/>
    <w:rsid w:val="00C7579A"/>
    <w:rsid w:val="00CB7F07"/>
    <w:rsid w:val="00CD634D"/>
    <w:rsid w:val="00CE085D"/>
    <w:rsid w:val="00D12E23"/>
    <w:rsid w:val="00DD22C8"/>
    <w:rsid w:val="00DD3CD0"/>
    <w:rsid w:val="00E0598E"/>
    <w:rsid w:val="00F37FB3"/>
    <w:rsid w:val="00F40E57"/>
    <w:rsid w:val="00F4680A"/>
    <w:rsid w:val="00F54524"/>
    <w:rsid w:val="00F634B5"/>
    <w:rsid w:val="00FD3180"/>
    <w:rsid w:val="00FD479C"/>
    <w:rsid w:val="00FF4B31"/>
    <w:rsid w:val="02816679"/>
    <w:rsid w:val="0D5D5740"/>
    <w:rsid w:val="162D5CB0"/>
    <w:rsid w:val="284321AC"/>
    <w:rsid w:val="2D1B0DD8"/>
    <w:rsid w:val="3E1A60EE"/>
    <w:rsid w:val="42DA5063"/>
    <w:rsid w:val="47290367"/>
    <w:rsid w:val="5D6CC75A"/>
    <w:rsid w:val="5E423BAE"/>
    <w:rsid w:val="6C884CB0"/>
    <w:rsid w:val="6FBB6611"/>
    <w:rsid w:val="71CD7E34"/>
    <w:rsid w:val="7933400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unhideWhenUsed="0" w:uiPriority="3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2"/>
      <w:lang w:val="en-US" w:eastAsia="zh-CN" w:bidi="ar-SA"/>
    </w:rPr>
  </w:style>
  <w:style w:type="character" w:default="1" w:styleId="5">
    <w:name w:val="Default Paragraph Font"/>
    <w:semiHidden/>
    <w:unhideWhenUsed/>
    <w:qFormat/>
    <w:uiPriority w:val="1"/>
  </w:style>
  <w:style w:type="table" w:default="1" w:styleId="4">
    <w:name w:val="Normal Table"/>
    <w:semiHidden/>
    <w:unhideWhenUsed/>
    <w:qFormat/>
    <w:uiPriority w:val="99"/>
    <w:tblPr>
      <w:tblCellMar>
        <w:top w:w="0" w:type="dxa"/>
        <w:left w:w="108" w:type="dxa"/>
        <w:bottom w:w="0" w:type="dxa"/>
        <w:right w:w="108" w:type="dxa"/>
      </w:tblCellMar>
    </w:tblPr>
  </w:style>
  <w:style w:type="paragraph" w:styleId="2">
    <w:name w:val="footer"/>
    <w:basedOn w:val="1"/>
    <w:link w:val="7"/>
    <w:unhideWhenUsed/>
    <w:qFormat/>
    <w:uiPriority w:val="99"/>
    <w:pPr>
      <w:tabs>
        <w:tab w:val="center" w:pos="4153"/>
        <w:tab w:val="right" w:pos="8306"/>
      </w:tabs>
      <w:snapToGrid w:val="0"/>
      <w:jc w:val="left"/>
    </w:pPr>
    <w:rPr>
      <w:sz w:val="18"/>
      <w:szCs w:val="18"/>
    </w:rPr>
  </w:style>
  <w:style w:type="paragraph" w:styleId="3">
    <w:name w:val="header"/>
    <w:basedOn w:val="1"/>
    <w:link w:val="6"/>
    <w:unhideWhenUsed/>
    <w:qFormat/>
    <w:uiPriority w:val="99"/>
    <w:pPr>
      <w:pBdr>
        <w:bottom w:val="single" w:color="auto" w:sz="6" w:space="1"/>
      </w:pBdr>
      <w:tabs>
        <w:tab w:val="center" w:pos="4153"/>
        <w:tab w:val="right" w:pos="8306"/>
      </w:tabs>
      <w:snapToGrid w:val="0"/>
      <w:jc w:val="center"/>
    </w:pPr>
    <w:rPr>
      <w:sz w:val="18"/>
      <w:szCs w:val="18"/>
    </w:rPr>
  </w:style>
  <w:style w:type="character" w:customStyle="1" w:styleId="6">
    <w:name w:val="页眉 字符"/>
    <w:basedOn w:val="5"/>
    <w:link w:val="3"/>
    <w:qFormat/>
    <w:uiPriority w:val="99"/>
    <w:rPr>
      <w:sz w:val="18"/>
      <w:szCs w:val="18"/>
    </w:rPr>
  </w:style>
  <w:style w:type="character" w:customStyle="1" w:styleId="7">
    <w:name w:val="页脚 字符"/>
    <w:basedOn w:val="5"/>
    <w:link w:val="2"/>
    <w:qFormat/>
    <w:uiPriority w:val="99"/>
    <w:rPr>
      <w:sz w:val="18"/>
      <w:szCs w:val="18"/>
    </w:rPr>
  </w:style>
</w:styles>
</file>

<file path=word/_rels/document.xml.rels><?xml version="1.0" encoding="UTF-8" standalone="yes"?>
<Relationships xmlns="http://schemas.openxmlformats.org/package/2006/relationships"><Relationship Id="rId9" Type="http://schemas.openxmlformats.org/officeDocument/2006/relationships/image" Target="media/image6.jpeg"/><Relationship Id="rId8" Type="http://schemas.openxmlformats.org/officeDocument/2006/relationships/image" Target="media/image5.png"/><Relationship Id="rId7" Type="http://schemas.openxmlformats.org/officeDocument/2006/relationships/image" Target="media/image4.jpeg"/><Relationship Id="rId6" Type="http://schemas.openxmlformats.org/officeDocument/2006/relationships/image" Target="media/image3.png"/><Relationship Id="rId59" Type="http://schemas.openxmlformats.org/officeDocument/2006/relationships/fontTable" Target="fontTable.xml"/><Relationship Id="rId58" Type="http://schemas.openxmlformats.org/officeDocument/2006/relationships/customXml" Target="../customXml/item1.xml"/><Relationship Id="rId57" Type="http://schemas.openxmlformats.org/officeDocument/2006/relationships/image" Target="media/image37.png"/><Relationship Id="rId56" Type="http://schemas.openxmlformats.org/officeDocument/2006/relationships/image" Target="media/image36.png"/><Relationship Id="rId55" Type="http://schemas.openxmlformats.org/officeDocument/2006/relationships/oleObject" Target="embeddings/oleObject17.bin"/><Relationship Id="rId54" Type="http://schemas.openxmlformats.org/officeDocument/2006/relationships/image" Target="media/image35.png"/><Relationship Id="rId53" Type="http://schemas.openxmlformats.org/officeDocument/2006/relationships/oleObject" Target="embeddings/oleObject16.bin"/><Relationship Id="rId52" Type="http://schemas.openxmlformats.org/officeDocument/2006/relationships/image" Target="media/image34.png"/><Relationship Id="rId51" Type="http://schemas.openxmlformats.org/officeDocument/2006/relationships/oleObject" Target="embeddings/oleObject15.bin"/><Relationship Id="rId50" Type="http://schemas.openxmlformats.org/officeDocument/2006/relationships/image" Target="media/image33.png"/><Relationship Id="rId5" Type="http://schemas.openxmlformats.org/officeDocument/2006/relationships/image" Target="media/image2.png"/><Relationship Id="rId49" Type="http://schemas.openxmlformats.org/officeDocument/2006/relationships/oleObject" Target="embeddings/oleObject14.bin"/><Relationship Id="rId48" Type="http://schemas.openxmlformats.org/officeDocument/2006/relationships/image" Target="media/image32.png"/><Relationship Id="rId47" Type="http://schemas.openxmlformats.org/officeDocument/2006/relationships/oleObject" Target="embeddings/oleObject13.bin"/><Relationship Id="rId46" Type="http://schemas.openxmlformats.org/officeDocument/2006/relationships/image" Target="media/image31.png"/><Relationship Id="rId45" Type="http://schemas.openxmlformats.org/officeDocument/2006/relationships/oleObject" Target="embeddings/oleObject12.bin"/><Relationship Id="rId44" Type="http://schemas.openxmlformats.org/officeDocument/2006/relationships/image" Target="media/image30.png"/><Relationship Id="rId43" Type="http://schemas.openxmlformats.org/officeDocument/2006/relationships/oleObject" Target="embeddings/oleObject11.bin"/><Relationship Id="rId42" Type="http://schemas.openxmlformats.org/officeDocument/2006/relationships/image" Target="media/image29.png"/><Relationship Id="rId41" Type="http://schemas.openxmlformats.org/officeDocument/2006/relationships/oleObject" Target="embeddings/oleObject10.bin"/><Relationship Id="rId40" Type="http://schemas.openxmlformats.org/officeDocument/2006/relationships/image" Target="media/image28.jpeg"/><Relationship Id="rId4" Type="http://schemas.openxmlformats.org/officeDocument/2006/relationships/image" Target="media/image1.png"/><Relationship Id="rId39" Type="http://schemas.openxmlformats.org/officeDocument/2006/relationships/image" Target="media/image27.jpeg"/><Relationship Id="rId38" Type="http://schemas.openxmlformats.org/officeDocument/2006/relationships/image" Target="media/image26.jpeg"/><Relationship Id="rId37" Type="http://schemas.openxmlformats.org/officeDocument/2006/relationships/image" Target="media/image25.jpeg"/><Relationship Id="rId36" Type="http://schemas.openxmlformats.org/officeDocument/2006/relationships/image" Target="media/image24.jpeg"/><Relationship Id="rId35" Type="http://schemas.openxmlformats.org/officeDocument/2006/relationships/image" Target="media/image23.jpeg"/><Relationship Id="rId34" Type="http://schemas.openxmlformats.org/officeDocument/2006/relationships/image" Target="media/image22.png"/><Relationship Id="rId33" Type="http://schemas.openxmlformats.org/officeDocument/2006/relationships/image" Target="media/image21.png"/><Relationship Id="rId32" Type="http://schemas.openxmlformats.org/officeDocument/2006/relationships/image" Target="media/image20.png"/><Relationship Id="rId31" Type="http://schemas.openxmlformats.org/officeDocument/2006/relationships/image" Target="media/image19.png"/><Relationship Id="rId30" Type="http://schemas.openxmlformats.org/officeDocument/2006/relationships/image" Target="media/image18.png"/><Relationship Id="rId3" Type="http://schemas.openxmlformats.org/officeDocument/2006/relationships/theme" Target="theme/theme1.xml"/><Relationship Id="rId29" Type="http://schemas.openxmlformats.org/officeDocument/2006/relationships/image" Target="media/image17.png"/><Relationship Id="rId28" Type="http://schemas.openxmlformats.org/officeDocument/2006/relationships/image" Target="media/image16.png"/><Relationship Id="rId27" Type="http://schemas.openxmlformats.org/officeDocument/2006/relationships/image" Target="media/image15.png"/><Relationship Id="rId26" Type="http://schemas.openxmlformats.org/officeDocument/2006/relationships/oleObject" Target="embeddings/oleObject9.bin"/><Relationship Id="rId25" Type="http://schemas.openxmlformats.org/officeDocument/2006/relationships/image" Target="media/image14.png"/><Relationship Id="rId24" Type="http://schemas.openxmlformats.org/officeDocument/2006/relationships/oleObject" Target="embeddings/oleObject8.bin"/><Relationship Id="rId23" Type="http://schemas.openxmlformats.org/officeDocument/2006/relationships/image" Target="media/image13.png"/><Relationship Id="rId22" Type="http://schemas.openxmlformats.org/officeDocument/2006/relationships/oleObject" Target="embeddings/oleObject7.bin"/><Relationship Id="rId21" Type="http://schemas.openxmlformats.org/officeDocument/2006/relationships/image" Target="media/image12.png"/><Relationship Id="rId20" Type="http://schemas.openxmlformats.org/officeDocument/2006/relationships/oleObject" Target="embeddings/oleObject6.bin"/><Relationship Id="rId2" Type="http://schemas.openxmlformats.org/officeDocument/2006/relationships/settings" Target="settings.xml"/><Relationship Id="rId19" Type="http://schemas.openxmlformats.org/officeDocument/2006/relationships/image" Target="media/image11.png"/><Relationship Id="rId18" Type="http://schemas.openxmlformats.org/officeDocument/2006/relationships/oleObject" Target="embeddings/oleObject5.bin"/><Relationship Id="rId17" Type="http://schemas.openxmlformats.org/officeDocument/2006/relationships/image" Target="media/image10.png"/><Relationship Id="rId16" Type="http://schemas.openxmlformats.org/officeDocument/2006/relationships/oleObject" Target="embeddings/oleObject4.bin"/><Relationship Id="rId15" Type="http://schemas.openxmlformats.org/officeDocument/2006/relationships/image" Target="media/image9.png"/><Relationship Id="rId14" Type="http://schemas.openxmlformats.org/officeDocument/2006/relationships/oleObject" Target="embeddings/oleObject3.bin"/><Relationship Id="rId13" Type="http://schemas.openxmlformats.org/officeDocument/2006/relationships/image" Target="media/image8.png"/><Relationship Id="rId12" Type="http://schemas.openxmlformats.org/officeDocument/2006/relationships/oleObject" Target="embeddings/oleObject2.bin"/><Relationship Id="rId11" Type="http://schemas.openxmlformats.org/officeDocument/2006/relationships/image" Target="media/image7.png"/><Relationship Id="rId10" Type="http://schemas.openxmlformats.org/officeDocument/2006/relationships/oleObject" Target="embeddings/oleObject1.bin"/><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Pages>26</Pages>
  <Words>10618</Words>
  <Characters>11011</Characters>
  <Lines>80</Lines>
  <Paragraphs>22</Paragraphs>
  <TotalTime>25</TotalTime>
  <ScaleCrop>false</ScaleCrop>
  <LinksUpToDate>false</LinksUpToDate>
  <CharactersWithSpaces>11011</CharactersWithSpaces>
  <Application>WPS Office_11.1.0.12980_F1E327BC-269C-435d-A152-05C5408002CA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2023-03-05T08:53:00Z</dcterms:created>
  <dc:creator>李 清华</dc:creator>
  <cp:lastModifiedBy>HiWin10</cp:lastModifiedBy>
  <dcterms:modified xsi:type="dcterms:W3CDTF">2023-03-14T09:37:35Z</dcterms:modified>
  <cp:revision>38</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2052-11.1.0.12980</vt:lpwstr>
  </property>
  <property fmtid="{D5CDD505-2E9C-101B-9397-08002B2CF9AE}" pid="3" name="ICV">
    <vt:lpwstr>ABE841C14A1D4A769A5C2586B35F3B8A</vt:lpwstr>
  </property>
</Properties>
</file>