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80" w:lineRule="exact"/>
        <w:jc w:val="distribute"/>
        <w:textAlignment w:val="auto"/>
        <w:rPr>
          <w:rFonts w:eastAsia="方正小标宋简体"/>
          <w:color w:val="FF0000"/>
          <w:spacing w:val="-60"/>
          <w:sz w:val="60"/>
          <w:szCs w:val="60"/>
        </w:rPr>
      </w:pPr>
      <w:r>
        <w:rPr>
          <w:rFonts w:hint="eastAsia" w:eastAsia="方正小标宋简体"/>
          <w:color w:val="FF0000"/>
          <w:spacing w:val="-60"/>
          <w:sz w:val="60"/>
          <w:szCs w:val="60"/>
        </w:rPr>
        <w:t>威海市人民政府安全生产委员会办公室</w:t>
      </w:r>
    </w:p>
    <w:p>
      <w:pPr>
        <w:keepNext w:val="0"/>
        <w:keepLines w:val="0"/>
        <w:pageBreakBefore w:val="0"/>
        <w:widowControl w:val="0"/>
        <w:kinsoku/>
        <w:wordWrap/>
        <w:overflowPunct/>
        <w:topLinePunct w:val="0"/>
        <w:autoSpaceDE/>
        <w:autoSpaceDN/>
        <w:bidi w:val="0"/>
        <w:adjustRightInd/>
        <w:snapToGrid/>
        <w:spacing w:beforeAutospacing="0" w:afterAutospacing="0" w:line="572" w:lineRule="exact"/>
        <w:ind w:firstLine="420" w:firstLineChars="200"/>
        <w:jc w:val="center"/>
        <w:textAlignment w:val="auto"/>
        <w:rPr>
          <w:rFonts w:hint="default" w:ascii="Times New Roman" w:hAnsi="Times New Roman" w:eastAsia="方正小标宋简体" w:cs="Times New Roman"/>
          <w:sz w:val="36"/>
          <w:szCs w:val="36"/>
        </w:rPr>
      </w:pPr>
      <w:r>
        <w:pict>
          <v:line id="直接连接符 1" o:spid="_x0000_s2050" o:spt="20" style="position:absolute;left:0pt;margin-left:0pt;margin-top:10.15pt;height:0.7pt;width:446.75pt;z-index:251659264;mso-width-relative:page;mso-height-relative:page;" filled="f" stroked="t" coordsize="21600,21600" o:gfxdata="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wZ7oDNIAAAAGAQAADwAAAAAA&#10;AAABACAAAAAiAAAAZHJzL2Rvd25yZXYueG1sUEsBAhQAFAAAAAgAh07iQPp0kbrgAQAAnQMAAA4A&#10;AAAAAAAAAQAgAAAAIQEAAGRycy9lMm9Eb2MueG1sUEsFBgAAAAAGAAYAWQEAAHMFAAAAAA==&#10;">
            <v:path arrowok="t"/>
            <v:fill on="f" focussize="0,0"/>
            <v:stroke weight="4.5pt" color="#FF0000" linestyle="thickThin"/>
            <v:imagedata o:title=""/>
            <o:lock v:ext="edit" aspectratio="f"/>
          </v:line>
        </w:pict>
      </w:r>
    </w:p>
    <w:p>
      <w:pPr>
        <w:keepNext w:val="0"/>
        <w:keepLines w:val="0"/>
        <w:pageBreakBefore w:val="0"/>
        <w:kinsoku/>
        <w:wordWrap/>
        <w:overflowPunct/>
        <w:topLinePunct w:val="0"/>
        <w:bidi w:val="0"/>
        <w:snapToGrid/>
        <w:spacing w:line="572" w:lineRule="exact"/>
        <w:jc w:val="center"/>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威安办函字</w:t>
      </w:r>
      <w:r>
        <w:rPr>
          <w:rFonts w:ascii="Times New Roman" w:hAnsi="Times New Roman" w:eastAsia="仿宋_GB2312"/>
          <w:bCs/>
          <w:kern w:val="0"/>
          <w:sz w:val="32"/>
          <w:szCs w:val="32"/>
        </w:rPr>
        <w:t>〔2</w:t>
      </w:r>
      <w:r>
        <w:rPr>
          <w:rFonts w:hint="eastAsia" w:ascii="Times New Roman" w:hAnsi="Times New Roman" w:eastAsia="仿宋_GB2312"/>
          <w:bCs/>
          <w:kern w:val="0"/>
          <w:sz w:val="32"/>
          <w:szCs w:val="32"/>
        </w:rPr>
        <w:t>0</w:t>
      </w:r>
      <w:r>
        <w:rPr>
          <w:rFonts w:hint="eastAsia" w:ascii="Times New Roman" w:hAnsi="Times New Roman" w:eastAsia="仿宋_GB2312"/>
          <w:bCs/>
          <w:kern w:val="0"/>
          <w:sz w:val="32"/>
          <w:szCs w:val="32"/>
          <w:lang w:val="en-US" w:eastAsia="zh-CN"/>
        </w:rPr>
        <w:t>22</w:t>
      </w:r>
      <w:r>
        <w:rPr>
          <w:rFonts w:ascii="Times New Roman" w:hAnsi="Times New Roman" w:eastAsia="仿宋_GB2312"/>
          <w:bCs/>
          <w:kern w:val="0"/>
          <w:sz w:val="32"/>
          <w:szCs w:val="32"/>
        </w:rPr>
        <w:t>〕</w:t>
      </w:r>
      <w:r>
        <w:rPr>
          <w:rFonts w:hint="eastAsia" w:ascii="Times New Roman" w:hAnsi="Times New Roman" w:eastAsia="仿宋_GB2312"/>
          <w:bCs/>
          <w:kern w:val="0"/>
          <w:sz w:val="32"/>
          <w:szCs w:val="32"/>
          <w:lang w:val="en-US" w:eastAsia="zh-CN"/>
        </w:rPr>
        <w:t>7</w:t>
      </w:r>
      <w:r>
        <w:rPr>
          <w:rFonts w:ascii="Times New Roman" w:hAnsi="Times New Roman" w:eastAsia="仿宋_GB2312"/>
          <w:bCs/>
          <w:kern w:val="0"/>
          <w:sz w:val="32"/>
          <w:szCs w:val="32"/>
        </w:rPr>
        <w:t>号</w:t>
      </w:r>
    </w:p>
    <w:p>
      <w:pPr>
        <w:keepNext w:val="0"/>
        <w:keepLines w:val="0"/>
        <w:pageBreakBefore w:val="0"/>
        <w:kinsoku/>
        <w:wordWrap/>
        <w:overflowPunct/>
        <w:topLinePunct w:val="0"/>
        <w:bidi w:val="0"/>
        <w:snapToGrid/>
        <w:spacing w:line="572" w:lineRule="exact"/>
        <w:jc w:val="center"/>
        <w:textAlignment w:val="baseline"/>
        <w:rPr>
          <w:rFonts w:ascii="Times New Roman" w:hAnsi="Times New Roman" w:eastAsia="方正小标宋简体" w:cs="Times New Roman"/>
          <w:sz w:val="44"/>
          <w:szCs w:val="44"/>
        </w:rPr>
      </w:pPr>
    </w:p>
    <w:p>
      <w:pPr>
        <w:keepNext w:val="0"/>
        <w:keepLines w:val="0"/>
        <w:pageBreakBefore w:val="0"/>
        <w:kinsoku/>
        <w:wordWrap/>
        <w:overflowPunct/>
        <w:topLinePunct w:val="0"/>
        <w:bidi w:val="0"/>
        <w:snapToGrid/>
        <w:spacing w:line="572" w:lineRule="exact"/>
        <w:jc w:val="center"/>
        <w:textAlignment w:val="baseline"/>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关于</w:t>
      </w:r>
      <w:r>
        <w:rPr>
          <w:rFonts w:hint="eastAsia" w:ascii="Times New Roman" w:hAnsi="Times New Roman" w:eastAsia="方正小标宋简体" w:cs="Times New Roman"/>
          <w:sz w:val="44"/>
          <w:szCs w:val="44"/>
        </w:rPr>
        <w:t>开展山东省安全生产创新举措</w:t>
      </w:r>
    </w:p>
    <w:p>
      <w:pPr>
        <w:keepNext w:val="0"/>
        <w:keepLines w:val="0"/>
        <w:pageBreakBefore w:val="0"/>
        <w:kinsoku/>
        <w:wordWrap/>
        <w:overflowPunct/>
        <w:topLinePunct w:val="0"/>
        <w:bidi w:val="0"/>
        <w:snapToGrid/>
        <w:spacing w:line="572" w:lineRule="exact"/>
        <w:jc w:val="center"/>
        <w:textAlignment w:val="baseline"/>
        <w:rPr>
          <w:rFonts w:ascii="Times New Roman" w:hAnsi="Times New Roman" w:eastAsia="方正小标宋简体" w:cs="Times New Roman"/>
          <w:sz w:val="44"/>
          <w:szCs w:val="44"/>
        </w:rPr>
      </w:pPr>
      <w:r>
        <w:rPr>
          <w:rFonts w:hint="eastAsia" w:ascii="Times New Roman" w:hAnsi="Times New Roman" w:eastAsia="方正小标宋简体" w:cs="Times New Roman"/>
          <w:sz w:val="44"/>
          <w:szCs w:val="44"/>
        </w:rPr>
        <w:t>学习考试的通知</w:t>
      </w:r>
    </w:p>
    <w:p>
      <w:pPr>
        <w:keepNext w:val="0"/>
        <w:keepLines w:val="0"/>
        <w:pageBreakBefore w:val="0"/>
        <w:kinsoku/>
        <w:wordWrap/>
        <w:overflowPunct/>
        <w:topLinePunct w:val="0"/>
        <w:bidi w:val="0"/>
        <w:snapToGrid/>
        <w:spacing w:line="572" w:lineRule="exact"/>
        <w:jc w:val="center"/>
        <w:textAlignment w:val="baseline"/>
        <w:rPr>
          <w:rFonts w:ascii="Times New Roman" w:hAnsi="Times New Roman" w:cs="Times New Roman"/>
          <w:sz w:val="44"/>
          <w:szCs w:val="44"/>
        </w:rPr>
      </w:pPr>
    </w:p>
    <w:p>
      <w:pPr>
        <w:keepNext w:val="0"/>
        <w:keepLines w:val="0"/>
        <w:pageBreakBefore w:val="0"/>
        <w:kinsoku/>
        <w:wordWrap/>
        <w:overflowPunct/>
        <w:topLinePunct w:val="0"/>
        <w:bidi w:val="0"/>
        <w:snapToGrid/>
        <w:spacing w:line="572" w:lineRule="exact"/>
        <w:textAlignment w:val="baseline"/>
        <w:rPr>
          <w:rFonts w:ascii="Times New Roman" w:hAnsi="Times New Roman" w:eastAsia="仿宋_GB2312" w:cs="Times New Roman"/>
          <w:color w:val="000000" w:themeColor="text1"/>
          <w:sz w:val="32"/>
          <w:szCs w:val="32"/>
        </w:rPr>
      </w:pPr>
      <w:r>
        <w:rPr>
          <w:rFonts w:hint="eastAsia" w:ascii="Times New Roman" w:hAnsi="Times New Roman" w:eastAsia="仿宋_GB2312" w:cs="Times New Roman"/>
          <w:color w:val="000000" w:themeColor="text1"/>
          <w:sz w:val="32"/>
          <w:szCs w:val="32"/>
        </w:rPr>
        <w:t>各区市人民政府安全生产委员会，国家级开发区安全生产委员会，南海新区安全生产委员会，市政府安委会有关成员单位</w:t>
      </w:r>
      <w:r>
        <w:rPr>
          <w:rFonts w:hint="eastAsia" w:ascii="黑体" w:hAnsi="黑体" w:eastAsia="黑体" w:cs="黑体"/>
          <w:color w:val="000000" w:themeColor="text1"/>
          <w:sz w:val="32"/>
          <w:szCs w:val="32"/>
        </w:rPr>
        <w:t>：</w:t>
      </w:r>
    </w:p>
    <w:p>
      <w:pPr>
        <w:keepNext w:val="0"/>
        <w:keepLines w:val="0"/>
        <w:pageBreakBefore w:val="0"/>
        <w:kinsoku/>
        <w:wordWrap/>
        <w:overflowPunct/>
        <w:topLinePunct w:val="0"/>
        <w:bidi w:val="0"/>
        <w:snapToGrid/>
        <w:spacing w:line="572" w:lineRule="exact"/>
        <w:ind w:firstLine="640" w:firstLineChars="200"/>
        <w:textAlignment w:val="baseline"/>
        <w:rPr>
          <w:rFonts w:ascii="Times New Roman" w:hAnsi="Times New Roman" w:eastAsia="仿宋_GB2312" w:cs="Times New Roman"/>
          <w:sz w:val="32"/>
        </w:rPr>
      </w:pPr>
      <w:r>
        <w:rPr>
          <w:rFonts w:hint="eastAsia" w:ascii="Times New Roman" w:hAnsi="Times New Roman" w:eastAsia="仿宋_GB2312" w:cs="Times New Roman"/>
          <w:sz w:val="32"/>
        </w:rPr>
        <w:t>为贯彻落实省政府安委会办公室《关于深入学习贯彻安全生产八抓20项系列创新举措的通知》，落实企业安全生产主体责任，切实抓好全员安全教育培训工作，市政府安委会办公室决定自即日起开展山东省安全生产创新举措学习考试活动，现将有关事项通知如下。</w:t>
      </w:r>
    </w:p>
    <w:p>
      <w:pPr>
        <w:pStyle w:val="14"/>
        <w:keepNext w:val="0"/>
        <w:keepLines w:val="0"/>
        <w:pageBreakBefore w:val="0"/>
        <w:kinsoku/>
        <w:wordWrap/>
        <w:overflowPunct/>
        <w:topLinePunct w:val="0"/>
        <w:bidi w:val="0"/>
        <w:snapToGrid/>
        <w:spacing w:line="572" w:lineRule="exact"/>
        <w:ind w:firstLine="640" w:firstLineChars="200"/>
        <w:rPr>
          <w:rFonts w:hint="default" w:ascii="Times New Roman" w:hAnsi="Times New Roman" w:eastAsia="仿宋_GB2312"/>
          <w:sz w:val="32"/>
        </w:rPr>
      </w:pPr>
      <w:r>
        <w:rPr>
          <w:rFonts w:ascii="黑体" w:hAnsi="黑体" w:eastAsia="黑体"/>
          <w:color w:val="auto"/>
          <w:kern w:val="2"/>
          <w:sz w:val="32"/>
          <w:szCs w:val="32"/>
        </w:rPr>
        <w:t>一、学习范围</w:t>
      </w:r>
    </w:p>
    <w:p>
      <w:pPr>
        <w:pStyle w:val="14"/>
        <w:keepNext w:val="0"/>
        <w:keepLines w:val="0"/>
        <w:pageBreakBefore w:val="0"/>
        <w:kinsoku/>
        <w:wordWrap/>
        <w:overflowPunct/>
        <w:topLinePunct w:val="0"/>
        <w:bidi w:val="0"/>
        <w:snapToGrid/>
        <w:spacing w:line="572" w:lineRule="exact"/>
        <w:ind w:firstLine="640"/>
        <w:rPr>
          <w:rFonts w:hint="default" w:ascii="Times New Roman" w:hAnsi="Times New Roman" w:eastAsia="仿宋_GB2312"/>
          <w:sz w:val="32"/>
        </w:rPr>
      </w:pPr>
      <w:r>
        <w:rPr>
          <w:rFonts w:ascii="Times New Roman" w:hAnsi="Times New Roman" w:eastAsia="仿宋_GB2312"/>
          <w:sz w:val="32"/>
        </w:rPr>
        <w:t>全市所有行业领域企业的所有从业人员。</w:t>
      </w:r>
    </w:p>
    <w:p>
      <w:pPr>
        <w:pStyle w:val="14"/>
        <w:keepNext w:val="0"/>
        <w:keepLines w:val="0"/>
        <w:pageBreakBefore w:val="0"/>
        <w:kinsoku/>
        <w:wordWrap/>
        <w:overflowPunct/>
        <w:topLinePunct w:val="0"/>
        <w:bidi w:val="0"/>
        <w:snapToGrid/>
        <w:spacing w:line="572" w:lineRule="exact"/>
        <w:ind w:firstLine="640" w:firstLineChars="200"/>
        <w:rPr>
          <w:rFonts w:hint="default" w:ascii="黑体" w:hAnsi="黑体" w:eastAsia="黑体"/>
          <w:color w:val="auto"/>
          <w:kern w:val="2"/>
          <w:sz w:val="32"/>
          <w:szCs w:val="32"/>
        </w:rPr>
      </w:pPr>
      <w:r>
        <w:rPr>
          <w:rFonts w:ascii="黑体" w:hAnsi="黑体" w:eastAsia="黑体"/>
          <w:color w:val="auto"/>
          <w:kern w:val="2"/>
          <w:sz w:val="32"/>
          <w:szCs w:val="32"/>
        </w:rPr>
        <w:t>二、学习内容</w:t>
      </w:r>
    </w:p>
    <w:p>
      <w:pPr>
        <w:pStyle w:val="14"/>
        <w:keepNext w:val="0"/>
        <w:keepLines w:val="0"/>
        <w:pageBreakBefore w:val="0"/>
        <w:kinsoku/>
        <w:wordWrap/>
        <w:overflowPunct/>
        <w:topLinePunct w:val="0"/>
        <w:bidi w:val="0"/>
        <w:snapToGrid/>
        <w:spacing w:line="572" w:lineRule="exact"/>
        <w:ind w:firstLine="640"/>
        <w:rPr>
          <w:rFonts w:hint="default" w:ascii="Times New Roman" w:hAnsi="Times New Roman" w:eastAsia="仿宋_GB2312"/>
          <w:sz w:val="32"/>
        </w:rPr>
      </w:pPr>
      <w:r>
        <w:rPr>
          <w:rFonts w:hint="eastAsia" w:ascii="Times New Roman" w:hAnsi="Times New Roman" w:eastAsia="仿宋_GB2312"/>
          <w:sz w:val="32"/>
          <w:lang w:eastAsia="zh-CN"/>
        </w:rPr>
        <w:t>“</w:t>
      </w:r>
      <w:r>
        <w:rPr>
          <w:rFonts w:ascii="Times New Roman" w:hAnsi="Times New Roman" w:eastAsia="仿宋_GB2312"/>
          <w:sz w:val="32"/>
        </w:rPr>
        <w:t>八抓</w:t>
      </w:r>
      <w:r>
        <w:rPr>
          <w:rFonts w:hint="eastAsia" w:ascii="Times New Roman" w:hAnsi="Times New Roman" w:eastAsia="仿宋_GB2312"/>
          <w:sz w:val="32"/>
          <w:lang w:val="en-US" w:eastAsia="zh-CN"/>
        </w:rPr>
        <w:t>20</w:t>
      </w:r>
      <w:r>
        <w:rPr>
          <w:rFonts w:ascii="Times New Roman" w:hAnsi="Times New Roman" w:eastAsia="仿宋_GB2312"/>
          <w:sz w:val="32"/>
        </w:rPr>
        <w:t>项</w:t>
      </w:r>
      <w:r>
        <w:rPr>
          <w:rFonts w:hint="eastAsia" w:ascii="Times New Roman" w:hAnsi="Times New Roman" w:eastAsia="仿宋_GB2312"/>
          <w:sz w:val="32"/>
          <w:lang w:eastAsia="zh-CN"/>
        </w:rPr>
        <w:t>”</w:t>
      </w:r>
      <w:r>
        <w:rPr>
          <w:rFonts w:ascii="Times New Roman" w:hAnsi="Times New Roman" w:eastAsia="仿宋_GB2312"/>
          <w:sz w:val="32"/>
        </w:rPr>
        <w:t>创新举措及《山东省安全生产创新举措试题汇编（企业版）》</w:t>
      </w:r>
      <w:r>
        <w:rPr>
          <w:rFonts w:hint="eastAsia" w:ascii="Times New Roman" w:hAnsi="Times New Roman" w:eastAsia="仿宋_GB2312"/>
          <w:sz w:val="32"/>
          <w:lang w:eastAsia="zh-CN"/>
        </w:rPr>
        <w:t>（</w:t>
      </w:r>
      <w:r>
        <w:rPr>
          <w:rFonts w:hint="eastAsia" w:ascii="Times New Roman" w:hAnsi="Times New Roman" w:eastAsia="仿宋_GB2312"/>
          <w:sz w:val="32"/>
          <w:lang w:val="en-US" w:eastAsia="zh-CN"/>
        </w:rPr>
        <w:t>附件1，以下简称《试题汇编》</w:t>
      </w:r>
      <w:r>
        <w:rPr>
          <w:rFonts w:hint="eastAsia" w:ascii="Times New Roman" w:hAnsi="Times New Roman" w:eastAsia="仿宋_GB2312"/>
          <w:sz w:val="32"/>
          <w:lang w:eastAsia="zh-CN"/>
        </w:rPr>
        <w:t>）。</w:t>
      </w:r>
      <w:r>
        <w:rPr>
          <w:rFonts w:ascii="Times New Roman" w:hAnsi="Times New Roman" w:eastAsia="仿宋_GB2312"/>
          <w:sz w:val="32"/>
        </w:rPr>
        <w:t>该</w:t>
      </w:r>
      <w:r>
        <w:rPr>
          <w:rFonts w:hint="eastAsia" w:ascii="Times New Roman" w:hAnsi="Times New Roman" w:eastAsia="仿宋_GB2312"/>
          <w:sz w:val="32"/>
          <w:lang w:eastAsia="zh-CN"/>
        </w:rPr>
        <w:t>《</w:t>
      </w:r>
      <w:r>
        <w:rPr>
          <w:rFonts w:ascii="Times New Roman" w:hAnsi="Times New Roman" w:eastAsia="仿宋_GB2312"/>
          <w:sz w:val="32"/>
        </w:rPr>
        <w:t>试题汇编</w:t>
      </w:r>
      <w:r>
        <w:rPr>
          <w:rFonts w:hint="eastAsia" w:ascii="Times New Roman" w:hAnsi="Times New Roman" w:eastAsia="仿宋_GB2312"/>
          <w:sz w:val="32"/>
          <w:lang w:eastAsia="zh-CN"/>
        </w:rPr>
        <w:t>》</w:t>
      </w:r>
      <w:r>
        <w:rPr>
          <w:rFonts w:ascii="Times New Roman" w:hAnsi="Times New Roman" w:eastAsia="仿宋_GB2312"/>
          <w:sz w:val="32"/>
        </w:rPr>
        <w:t>同时纳入“大学习、大培训、大考试”专项行动必学必训必考内容。</w:t>
      </w:r>
    </w:p>
    <w:p>
      <w:pPr>
        <w:pStyle w:val="14"/>
        <w:keepNext w:val="0"/>
        <w:keepLines w:val="0"/>
        <w:pageBreakBefore w:val="0"/>
        <w:kinsoku/>
        <w:wordWrap/>
        <w:overflowPunct/>
        <w:topLinePunct w:val="0"/>
        <w:bidi w:val="0"/>
        <w:snapToGrid/>
        <w:spacing w:line="572" w:lineRule="exact"/>
        <w:ind w:firstLine="640" w:firstLineChars="200"/>
        <w:rPr>
          <w:rFonts w:hint="default" w:ascii="黑体" w:hAnsi="黑体" w:eastAsia="黑体"/>
          <w:color w:val="auto"/>
          <w:kern w:val="2"/>
          <w:sz w:val="32"/>
          <w:szCs w:val="32"/>
        </w:rPr>
      </w:pPr>
      <w:r>
        <w:rPr>
          <w:rFonts w:ascii="黑体" w:hAnsi="黑体" w:eastAsia="黑体"/>
          <w:color w:val="auto"/>
          <w:kern w:val="2"/>
          <w:sz w:val="32"/>
          <w:szCs w:val="32"/>
        </w:rPr>
        <w:t>三、学习和考试安排</w:t>
      </w:r>
    </w:p>
    <w:p>
      <w:pPr>
        <w:pStyle w:val="14"/>
        <w:keepNext w:val="0"/>
        <w:keepLines w:val="0"/>
        <w:pageBreakBefore w:val="0"/>
        <w:kinsoku/>
        <w:wordWrap/>
        <w:overflowPunct/>
        <w:topLinePunct w:val="0"/>
        <w:bidi w:val="0"/>
        <w:snapToGrid/>
        <w:spacing w:line="572" w:lineRule="exact"/>
        <w:ind w:firstLine="640"/>
        <w:rPr>
          <w:rFonts w:hint="default" w:ascii="Times New Roman" w:hAnsi="Times New Roman" w:eastAsia="仿宋_GB2312"/>
          <w:sz w:val="32"/>
        </w:rPr>
      </w:pPr>
      <w:r>
        <w:rPr>
          <w:rFonts w:ascii="楷体_GB2312" w:hAnsi="Times New Roman" w:eastAsia="楷体_GB2312"/>
          <w:color w:val="000000" w:themeColor="text1"/>
          <w:kern w:val="2"/>
          <w:sz w:val="32"/>
          <w:szCs w:val="32"/>
        </w:rPr>
        <w:t>（一）学习时间与组织形式。</w:t>
      </w:r>
      <w:r>
        <w:rPr>
          <w:rFonts w:ascii="Times New Roman" w:hAnsi="Times New Roman" w:eastAsia="仿宋_GB2312"/>
          <w:sz w:val="32"/>
        </w:rPr>
        <w:t>即日起，企业自主组织从业人员进行专项学习，与“大学习、大培训、大考试”同步进行，并建好专项学习档案。</w:t>
      </w:r>
    </w:p>
    <w:p>
      <w:pPr>
        <w:pStyle w:val="14"/>
        <w:keepNext w:val="0"/>
        <w:keepLines w:val="0"/>
        <w:pageBreakBefore w:val="0"/>
        <w:kinsoku/>
        <w:wordWrap/>
        <w:overflowPunct/>
        <w:topLinePunct w:val="0"/>
        <w:bidi w:val="0"/>
        <w:snapToGrid/>
        <w:spacing w:line="572" w:lineRule="exact"/>
        <w:ind w:firstLine="640"/>
        <w:rPr>
          <w:rFonts w:hint="default" w:ascii="楷体_GB2312" w:hAnsi="Times New Roman" w:eastAsia="楷体_GB2312"/>
          <w:color w:val="000000" w:themeColor="text1"/>
          <w:kern w:val="2"/>
          <w:sz w:val="32"/>
          <w:szCs w:val="32"/>
        </w:rPr>
      </w:pPr>
      <w:r>
        <w:rPr>
          <w:rFonts w:ascii="楷体_GB2312" w:hAnsi="Times New Roman" w:eastAsia="楷体_GB2312"/>
          <w:color w:val="000000" w:themeColor="text1"/>
          <w:kern w:val="2"/>
          <w:sz w:val="32"/>
          <w:szCs w:val="32"/>
        </w:rPr>
        <w:t>（二）考试时间与组织形式。</w:t>
      </w:r>
    </w:p>
    <w:p>
      <w:pPr>
        <w:pStyle w:val="14"/>
        <w:keepNext w:val="0"/>
        <w:keepLines w:val="0"/>
        <w:pageBreakBefore w:val="0"/>
        <w:kinsoku/>
        <w:wordWrap/>
        <w:overflowPunct/>
        <w:topLinePunct w:val="0"/>
        <w:bidi w:val="0"/>
        <w:snapToGrid/>
        <w:spacing w:line="572" w:lineRule="exact"/>
        <w:ind w:firstLine="640"/>
        <w:rPr>
          <w:rFonts w:hint="default" w:ascii="Times New Roman" w:hAnsi="Times New Roman" w:eastAsia="仿宋_GB2312"/>
          <w:sz w:val="32"/>
        </w:rPr>
      </w:pPr>
      <w:r>
        <w:rPr>
          <w:rFonts w:ascii="Times New Roman" w:hAnsi="Times New Roman" w:eastAsia="仿宋_GB2312"/>
          <w:sz w:val="32"/>
        </w:rPr>
        <w:t>1.5月20日至6月10日，各区市（含国家级开发区、南海新区，下同）政府安委会组织所有企业主要负责人、安全总监专项考试，分批次通过省考试系统在各安全生产理论考试点进行上机考试；各市属国有企业、市管企业由市有关主管部门负责组织。（考试点名单见附件</w:t>
      </w:r>
      <w:r>
        <w:rPr>
          <w:rFonts w:hint="eastAsia" w:ascii="Times New Roman" w:hAnsi="Times New Roman" w:eastAsia="仿宋_GB2312"/>
          <w:sz w:val="32"/>
          <w:lang w:val="en-US" w:eastAsia="zh-CN"/>
        </w:rPr>
        <w:t>2</w:t>
      </w:r>
      <w:r>
        <w:rPr>
          <w:rFonts w:ascii="Times New Roman" w:hAnsi="Times New Roman" w:eastAsia="仿宋_GB2312"/>
          <w:sz w:val="32"/>
        </w:rPr>
        <w:t>）</w:t>
      </w:r>
    </w:p>
    <w:p>
      <w:pPr>
        <w:pStyle w:val="14"/>
        <w:keepNext w:val="0"/>
        <w:keepLines w:val="0"/>
        <w:pageBreakBefore w:val="0"/>
        <w:kinsoku/>
        <w:wordWrap/>
        <w:overflowPunct/>
        <w:topLinePunct w:val="0"/>
        <w:bidi w:val="0"/>
        <w:snapToGrid/>
        <w:spacing w:line="572" w:lineRule="exact"/>
        <w:ind w:firstLine="640"/>
        <w:rPr>
          <w:rFonts w:hint="default" w:ascii="Times New Roman" w:hAnsi="Times New Roman" w:eastAsia="仿宋_GB2312"/>
          <w:sz w:val="32"/>
        </w:rPr>
      </w:pPr>
      <w:r>
        <w:rPr>
          <w:rFonts w:ascii="Times New Roman" w:hAnsi="Times New Roman" w:eastAsia="仿宋_GB2312"/>
          <w:sz w:val="32"/>
        </w:rPr>
        <w:t>2.各企业结合《试题汇编》，制定本单位试题，组织对本单位全部从业人员进行一次全覆盖考试，并如实评定成绩，企业考试原则上应于6月中旬前完成。</w:t>
      </w:r>
    </w:p>
    <w:p>
      <w:pPr>
        <w:pStyle w:val="14"/>
        <w:keepNext w:val="0"/>
        <w:keepLines w:val="0"/>
        <w:pageBreakBefore w:val="0"/>
        <w:kinsoku/>
        <w:wordWrap/>
        <w:overflowPunct/>
        <w:topLinePunct w:val="0"/>
        <w:bidi w:val="0"/>
        <w:snapToGrid/>
        <w:spacing w:line="572" w:lineRule="exact"/>
        <w:ind w:firstLine="640" w:firstLineChars="200"/>
        <w:rPr>
          <w:rFonts w:hint="default" w:ascii="Times New Roman" w:hAnsi="Times New Roman" w:eastAsia="仿宋_GB2312"/>
          <w:sz w:val="32"/>
        </w:rPr>
      </w:pPr>
      <w:r>
        <w:rPr>
          <w:rFonts w:ascii="黑体" w:hAnsi="黑体" w:eastAsia="黑体"/>
          <w:color w:val="auto"/>
          <w:kern w:val="2"/>
          <w:sz w:val="32"/>
          <w:szCs w:val="32"/>
        </w:rPr>
        <w:t>四、有关要求</w:t>
      </w:r>
    </w:p>
    <w:p>
      <w:pPr>
        <w:pStyle w:val="14"/>
        <w:keepNext w:val="0"/>
        <w:keepLines w:val="0"/>
        <w:pageBreakBefore w:val="0"/>
        <w:kinsoku/>
        <w:wordWrap/>
        <w:overflowPunct/>
        <w:topLinePunct w:val="0"/>
        <w:bidi w:val="0"/>
        <w:snapToGrid/>
        <w:spacing w:line="572" w:lineRule="exact"/>
        <w:ind w:firstLine="640"/>
        <w:rPr>
          <w:rFonts w:hint="default" w:ascii="Times New Roman" w:hAnsi="Times New Roman" w:eastAsia="仿宋_GB2312"/>
          <w:sz w:val="32"/>
        </w:rPr>
      </w:pPr>
      <w:r>
        <w:rPr>
          <w:rFonts w:ascii="Times New Roman" w:hAnsi="Times New Roman" w:eastAsia="仿宋_GB2312"/>
          <w:sz w:val="32"/>
        </w:rPr>
        <w:t>各级各有关部门务必深刻认识学习贯彻“八抓20项”的重要意义，牢固树立“安全培训不到位是重大隐患”思想，抓紧制定工作方案，严密进行部署，采取切实措施，强化督导检查，将其宣传贯彻到每家企业、每名员工，营造良好的学习氛围，确保省安全生产创新举措学习贯彻落到实处。</w:t>
      </w:r>
    </w:p>
    <w:p>
      <w:pPr>
        <w:keepNext w:val="0"/>
        <w:keepLines w:val="0"/>
        <w:pageBreakBefore w:val="0"/>
        <w:kinsoku/>
        <w:wordWrap/>
        <w:overflowPunct/>
        <w:topLinePunct w:val="0"/>
        <w:bidi w:val="0"/>
        <w:snapToGrid/>
        <w:spacing w:line="572" w:lineRule="exact"/>
        <w:ind w:firstLine="640" w:firstLineChars="200"/>
        <w:rPr>
          <w:rFonts w:ascii="Times New Roman" w:hAnsi="Times New Roman" w:eastAsia="仿宋_GB2312" w:cs="Times New Roman"/>
          <w:color w:val="auto"/>
          <w:sz w:val="32"/>
        </w:rPr>
      </w:pPr>
      <w:r>
        <w:rPr>
          <w:rFonts w:hint="eastAsia" w:ascii="楷体_GB2312" w:hAnsi="楷体_GB2312" w:eastAsia="楷体_GB2312" w:cs="楷体_GB2312"/>
          <w:color w:val="auto"/>
          <w:sz w:val="32"/>
        </w:rPr>
        <w:t>（一）逢查必考。</w:t>
      </w:r>
      <w:r>
        <w:rPr>
          <w:rFonts w:hint="eastAsia" w:ascii="Times New Roman" w:hAnsi="Times New Roman" w:eastAsia="仿宋_GB2312" w:cs="Times New Roman"/>
          <w:color w:val="auto"/>
          <w:sz w:val="32"/>
        </w:rPr>
        <w:t>各级各部门要将企业学习效果纳入日常检查、督查的重要内容，坚持逢查必考。每检查一家企业，都要根据企业规模大小、从业人员多少等，采取口试、笔试等方式，随机抽考一定比例的企业从业人员，以验证企业自主培训效果。5、6月份考题可从</w:t>
      </w:r>
      <w:r>
        <w:rPr>
          <w:rFonts w:hint="eastAsia" w:ascii="Times New Roman" w:hAnsi="Times New Roman" w:eastAsia="仿宋_GB2312"/>
          <w:color w:val="auto"/>
          <w:sz w:val="32"/>
          <w:lang w:val="en-US" w:eastAsia="zh-CN"/>
        </w:rPr>
        <w:t>《试题汇编》</w:t>
      </w:r>
      <w:r>
        <w:rPr>
          <w:rFonts w:ascii="Times New Roman" w:hAnsi="Times New Roman" w:eastAsia="仿宋_GB2312"/>
          <w:color w:val="auto"/>
          <w:sz w:val="32"/>
          <w:u w:val="none"/>
        </w:rPr>
        <w:t>中抽取</w:t>
      </w:r>
      <w:r>
        <w:rPr>
          <w:rFonts w:hint="eastAsia" w:ascii="Times New Roman" w:hAnsi="Times New Roman" w:eastAsia="仿宋_GB2312"/>
          <w:color w:val="auto"/>
          <w:sz w:val="32"/>
        </w:rPr>
        <w:t>。7月份开始，</w:t>
      </w:r>
      <w:r>
        <w:rPr>
          <w:rFonts w:hint="eastAsia" w:ascii="Times New Roman" w:hAnsi="Times New Roman" w:eastAsia="仿宋_GB2312" w:cs="Times New Roman"/>
          <w:color w:val="auto"/>
          <w:sz w:val="32"/>
        </w:rPr>
        <w:t>考题</w:t>
      </w:r>
      <w:r>
        <w:rPr>
          <w:rFonts w:ascii="Times New Roman" w:hAnsi="Times New Roman" w:eastAsia="仿宋_GB2312" w:cs="Times New Roman"/>
          <w:color w:val="auto"/>
          <w:sz w:val="32"/>
        </w:rPr>
        <w:t>从“大学习、</w:t>
      </w:r>
      <w:r>
        <w:rPr>
          <w:rFonts w:ascii="Times New Roman" w:hAnsi="Times New Roman" w:eastAsia="仿宋_GB2312"/>
          <w:color w:val="auto"/>
          <w:sz w:val="32"/>
        </w:rPr>
        <w:t xml:space="preserve">大培训、大考试” </w:t>
      </w:r>
      <w:r>
        <w:rPr>
          <w:rFonts w:hint="eastAsia" w:ascii="Times New Roman" w:hAnsi="Times New Roman" w:eastAsia="仿宋_GB2312"/>
          <w:color w:val="auto"/>
          <w:sz w:val="32"/>
        </w:rPr>
        <w:t>题库中</w:t>
      </w:r>
      <w:r>
        <w:rPr>
          <w:rFonts w:ascii="Times New Roman" w:hAnsi="Times New Roman" w:eastAsia="仿宋_GB2312"/>
          <w:color w:val="auto"/>
          <w:sz w:val="32"/>
        </w:rPr>
        <w:t>抽取</w:t>
      </w:r>
      <w:r>
        <w:rPr>
          <w:rFonts w:hint="eastAsia" w:ascii="Times New Roman" w:hAnsi="Times New Roman" w:eastAsia="仿宋_GB2312"/>
          <w:color w:val="auto"/>
          <w:sz w:val="32"/>
        </w:rPr>
        <w:t>。</w:t>
      </w:r>
    </w:p>
    <w:p>
      <w:pPr>
        <w:keepNext w:val="0"/>
        <w:keepLines w:val="0"/>
        <w:pageBreakBefore w:val="0"/>
        <w:kinsoku/>
        <w:wordWrap/>
        <w:overflowPunct/>
        <w:topLinePunct w:val="0"/>
        <w:bidi w:val="0"/>
        <w:snapToGrid/>
        <w:spacing w:line="572" w:lineRule="exact"/>
        <w:ind w:firstLine="640" w:firstLineChars="200"/>
        <w:rPr>
          <w:rFonts w:hint="default" w:ascii="Times New Roman" w:hAnsi="Times New Roman" w:eastAsia="仿宋_GB2312" w:cs="Times New Roman"/>
          <w:color w:val="auto"/>
          <w:sz w:val="32"/>
        </w:rPr>
      </w:pPr>
      <w:r>
        <w:rPr>
          <w:rFonts w:hint="eastAsia" w:ascii="楷体_GB2312" w:hAnsi="楷体_GB2312" w:eastAsia="楷体_GB2312" w:cs="楷体_GB2312"/>
          <w:sz w:val="32"/>
        </w:rPr>
        <w:t>（二）每月抽考。</w:t>
      </w:r>
      <w:r>
        <w:rPr>
          <w:rFonts w:hint="default" w:ascii="Times New Roman" w:hAnsi="Times New Roman" w:eastAsia="仿宋_GB2312" w:cs="Times New Roman"/>
          <w:color w:val="auto"/>
          <w:sz w:val="32"/>
        </w:rPr>
        <w:t>建立常态化抽考机制，从5月份开始，各区市、各部门要按照“全覆盖”的要求，每月从本辖区、本分管行业领域，至少集中抽考10家企业、50名从业人员（包括企业主要负责人、安全总监、安全生产管理人员、一线作业人员）。抽考可采取计算机答题、闭卷考试等方式。考题严格按正式上机考试的题型、数量随机</w:t>
      </w:r>
      <w:r>
        <w:rPr>
          <w:rFonts w:hint="default" w:ascii="Times New Roman" w:hAnsi="Times New Roman" w:eastAsia="仿宋_GB2312" w:cs="Times New Roman"/>
          <w:color w:val="auto"/>
          <w:sz w:val="32"/>
          <w:lang w:val="en-US" w:eastAsia="zh-CN"/>
        </w:rPr>
        <w:t>生成</w:t>
      </w:r>
      <w:r>
        <w:rPr>
          <w:rFonts w:hint="default" w:ascii="Times New Roman" w:hAnsi="Times New Roman" w:eastAsia="仿宋_GB2312" w:cs="Times New Roman"/>
          <w:color w:val="auto"/>
          <w:sz w:val="32"/>
        </w:rPr>
        <w:t>。5、6月份考题从</w:t>
      </w:r>
      <w:r>
        <w:rPr>
          <w:rFonts w:hint="eastAsia" w:ascii="Times New Roman" w:hAnsi="Times New Roman" w:eastAsia="仿宋_GB2312"/>
          <w:sz w:val="32"/>
          <w:lang w:val="en-US" w:eastAsia="zh-CN"/>
        </w:rPr>
        <w:t>《试题汇编》</w:t>
      </w:r>
      <w:r>
        <w:rPr>
          <w:rFonts w:hint="default" w:ascii="Times New Roman" w:hAnsi="Times New Roman" w:eastAsia="仿宋_GB2312" w:cs="Times New Roman"/>
          <w:color w:val="auto"/>
          <w:sz w:val="32"/>
          <w:u w:val="none"/>
        </w:rPr>
        <w:t>中随机生成</w:t>
      </w:r>
      <w:r>
        <w:rPr>
          <w:rFonts w:hint="default" w:ascii="Times New Roman" w:hAnsi="Times New Roman" w:eastAsia="仿宋_GB2312" w:cs="Times New Roman"/>
          <w:color w:val="auto"/>
          <w:sz w:val="32"/>
        </w:rPr>
        <w:t>。7月份开始，考题从“大学习、大培训、大考试” 题库中随机生成。考试结束后，当场判定考试分数并公布考试成绩。</w:t>
      </w:r>
    </w:p>
    <w:p>
      <w:pPr>
        <w:pStyle w:val="13"/>
        <w:keepNext w:val="0"/>
        <w:keepLines w:val="0"/>
        <w:pageBreakBefore w:val="0"/>
        <w:kinsoku/>
        <w:wordWrap/>
        <w:overflowPunct/>
        <w:topLinePunct w:val="0"/>
        <w:bidi w:val="0"/>
        <w:snapToGrid/>
        <w:spacing w:line="572" w:lineRule="exact"/>
        <w:ind w:firstLine="628" w:firstLineChars="200"/>
        <w:rPr>
          <w:rFonts w:eastAsia="仿宋_GB2312"/>
          <w:color w:val="auto"/>
        </w:rPr>
      </w:pPr>
      <w:r>
        <w:rPr>
          <w:rFonts w:hint="eastAsia" w:ascii="楷体_GB2312" w:hAnsi="楷体_GB2312" w:eastAsia="楷体_GB2312" w:cs="楷体_GB2312"/>
          <w:color w:val="auto"/>
          <w:sz w:val="32"/>
        </w:rPr>
        <w:t>（三）强化督导。</w:t>
      </w:r>
      <w:r>
        <w:rPr>
          <w:rFonts w:hint="eastAsia" w:eastAsia="仿宋_GB2312"/>
          <w:color w:val="auto"/>
          <w:sz w:val="32"/>
        </w:rPr>
        <w:t>实行月工作调度制度，各区市、各有关部门每月25日前，将当月抽考情况（附件</w:t>
      </w:r>
      <w:r>
        <w:rPr>
          <w:rFonts w:hint="eastAsia" w:eastAsia="仿宋_GB2312"/>
          <w:color w:val="auto"/>
          <w:sz w:val="32"/>
          <w:lang w:val="en-US" w:eastAsia="zh-CN"/>
        </w:rPr>
        <w:t>3</w:t>
      </w:r>
      <w:r>
        <w:rPr>
          <w:rFonts w:hint="eastAsia" w:eastAsia="仿宋_GB2312"/>
          <w:color w:val="auto"/>
          <w:sz w:val="32"/>
        </w:rPr>
        <w:t>）报市政府安委会办公室。实行月督导制度，从5月份开始，市政府安委会办公室每月对各区市工作落实情况进行一次督导。督导的形式为，随机抽取各行业领域10家企业、50名从业人员进行计算机答题，考试成绩全市通报。严肃工作问责，对组织培训不到位、员工理解掌握不到位、工作贯彻落实不到位的企业，要倒查企业主要负责人、安全总监主体责任；对弄虚作假、监考不严等行为，将严肃追究相关责任人责任。</w:t>
      </w:r>
    </w:p>
    <w:p>
      <w:pPr>
        <w:keepNext w:val="0"/>
        <w:keepLines w:val="0"/>
        <w:pageBreakBefore w:val="0"/>
        <w:kinsoku/>
        <w:wordWrap/>
        <w:overflowPunct/>
        <w:topLinePunct w:val="0"/>
        <w:bidi w:val="0"/>
        <w:snapToGrid/>
        <w:spacing w:line="572" w:lineRule="exact"/>
        <w:ind w:firstLine="640" w:firstLineChars="200"/>
        <w:rPr>
          <w:rFonts w:ascii="Times New Roman" w:hAnsi="Times New Roman" w:eastAsia="仿宋_GB2312"/>
          <w:sz w:val="32"/>
        </w:rPr>
      </w:pPr>
      <w:r>
        <w:rPr>
          <w:rFonts w:ascii="Times New Roman" w:hAnsi="Times New Roman" w:eastAsia="仿宋_GB2312"/>
          <w:sz w:val="32"/>
        </w:rPr>
        <w:t>联系人：宁一蕾    联系电话：5210779</w:t>
      </w:r>
    </w:p>
    <w:p>
      <w:pPr>
        <w:pStyle w:val="14"/>
        <w:keepNext w:val="0"/>
        <w:keepLines w:val="0"/>
        <w:pageBreakBefore w:val="0"/>
        <w:kinsoku/>
        <w:wordWrap/>
        <w:overflowPunct/>
        <w:topLinePunct w:val="0"/>
        <w:bidi w:val="0"/>
        <w:snapToGrid/>
        <w:spacing w:line="572" w:lineRule="exact"/>
        <w:ind w:firstLine="640"/>
        <w:rPr>
          <w:rFonts w:hint="default" w:ascii="Times New Roman" w:hAnsi="Times New Roman" w:eastAsia="仿宋_GB2312"/>
          <w:sz w:val="32"/>
        </w:rPr>
      </w:pPr>
      <w:r>
        <w:rPr>
          <w:rFonts w:ascii="Times New Roman" w:hAnsi="Times New Roman" w:eastAsia="仿宋_GB2312"/>
          <w:sz w:val="32"/>
        </w:rPr>
        <w:t>政务邮箱：应急局基础科</w:t>
      </w:r>
    </w:p>
    <w:p>
      <w:pPr>
        <w:pStyle w:val="14"/>
        <w:keepNext w:val="0"/>
        <w:keepLines w:val="0"/>
        <w:pageBreakBefore w:val="0"/>
        <w:kinsoku/>
        <w:wordWrap/>
        <w:overflowPunct/>
        <w:topLinePunct w:val="0"/>
        <w:bidi w:val="0"/>
        <w:snapToGrid/>
        <w:spacing w:line="572" w:lineRule="exact"/>
        <w:ind w:firstLine="640"/>
        <w:rPr>
          <w:rFonts w:hint="default" w:ascii="Times New Roman" w:hAnsi="Times New Roman" w:eastAsia="仿宋_GB2312"/>
          <w:sz w:val="32"/>
        </w:rPr>
      </w:pPr>
      <w:r>
        <w:rPr>
          <w:rFonts w:ascii="Times New Roman" w:hAnsi="Times New Roman" w:eastAsia="仿宋_GB2312"/>
          <w:sz w:val="32"/>
        </w:rPr>
        <w:t>附件：1.山东省安全生产创新举措试题汇编（企业版）</w:t>
      </w:r>
    </w:p>
    <w:p>
      <w:pPr>
        <w:pStyle w:val="14"/>
        <w:keepNext w:val="0"/>
        <w:keepLines w:val="0"/>
        <w:pageBreakBefore w:val="0"/>
        <w:numPr>
          <w:ilvl w:val="0"/>
          <w:numId w:val="0"/>
        </w:numPr>
        <w:kinsoku/>
        <w:wordWrap/>
        <w:overflowPunct/>
        <w:topLinePunct w:val="0"/>
        <w:bidi w:val="0"/>
        <w:snapToGrid/>
        <w:spacing w:line="572" w:lineRule="exact"/>
        <w:ind w:firstLine="1600" w:firstLineChars="500"/>
        <w:rPr>
          <w:rFonts w:ascii="Times New Roman" w:hAnsi="Times New Roman" w:eastAsia="仿宋_GB2312"/>
          <w:sz w:val="32"/>
        </w:rPr>
      </w:pPr>
      <w:r>
        <w:rPr>
          <w:rFonts w:hint="eastAsia" w:ascii="Times New Roman" w:hAnsi="Times New Roman" w:eastAsia="仿宋_GB2312"/>
          <w:sz w:val="32"/>
          <w:lang w:val="en-US" w:eastAsia="zh-CN"/>
        </w:rPr>
        <w:t>2.</w:t>
      </w:r>
      <w:r>
        <w:rPr>
          <w:rFonts w:ascii="Times New Roman" w:hAnsi="Times New Roman" w:eastAsia="仿宋_GB2312"/>
          <w:sz w:val="32"/>
        </w:rPr>
        <w:t>全市安全生产考试点名单</w:t>
      </w:r>
    </w:p>
    <w:p>
      <w:pPr>
        <w:pStyle w:val="14"/>
        <w:keepNext w:val="0"/>
        <w:keepLines w:val="0"/>
        <w:pageBreakBefore w:val="0"/>
        <w:numPr>
          <w:ilvl w:val="0"/>
          <w:numId w:val="0"/>
        </w:numPr>
        <w:kinsoku/>
        <w:wordWrap/>
        <w:overflowPunct/>
        <w:topLinePunct w:val="0"/>
        <w:bidi w:val="0"/>
        <w:snapToGrid/>
        <w:spacing w:line="572" w:lineRule="exact"/>
        <w:ind w:firstLine="1600" w:firstLineChars="500"/>
        <w:rPr>
          <w:rFonts w:hint="default" w:ascii="Times New Roman" w:hAnsi="Times New Roman" w:eastAsia="仿宋_GB2312"/>
          <w:sz w:val="32"/>
        </w:rPr>
      </w:pPr>
      <w:r>
        <w:rPr>
          <w:rFonts w:ascii="Times New Roman" w:hAnsi="Times New Roman" w:eastAsia="仿宋_GB2312"/>
          <w:color w:val="auto"/>
          <w:sz w:val="32"/>
        </w:rPr>
        <w:t>3.</w:t>
      </w:r>
      <w:r>
        <w:rPr>
          <w:rFonts w:ascii="Times New Roman" w:hAnsi="Times New Roman" w:eastAsia="仿宋_GB2312"/>
          <w:sz w:val="32"/>
        </w:rPr>
        <w:t>省安全生产创新举措学习贯彻抽考情况统计表</w:t>
      </w:r>
    </w:p>
    <w:p>
      <w:pPr>
        <w:pStyle w:val="14"/>
        <w:keepNext w:val="0"/>
        <w:keepLines w:val="0"/>
        <w:pageBreakBefore w:val="0"/>
        <w:kinsoku/>
        <w:wordWrap/>
        <w:overflowPunct/>
        <w:topLinePunct w:val="0"/>
        <w:bidi w:val="0"/>
        <w:snapToGrid/>
        <w:spacing w:line="572" w:lineRule="exact"/>
        <w:ind w:firstLine="1612" w:firstLineChars="504"/>
        <w:rPr>
          <w:rFonts w:hint="default" w:ascii="Times New Roman" w:hAnsi="Times New Roman" w:eastAsia="仿宋_GB2312"/>
          <w:sz w:val="32"/>
        </w:rPr>
      </w:pPr>
    </w:p>
    <w:p>
      <w:pPr>
        <w:pStyle w:val="14"/>
        <w:keepNext w:val="0"/>
        <w:keepLines w:val="0"/>
        <w:pageBreakBefore w:val="0"/>
        <w:kinsoku/>
        <w:wordWrap/>
        <w:overflowPunct/>
        <w:topLinePunct w:val="0"/>
        <w:bidi w:val="0"/>
        <w:snapToGrid/>
        <w:spacing w:line="572" w:lineRule="exact"/>
        <w:ind w:firstLine="3212" w:firstLineChars="1004"/>
        <w:rPr>
          <w:rFonts w:ascii="Times New Roman" w:hAnsi="Times New Roman" w:eastAsia="仿宋_GB2312"/>
          <w:sz w:val="32"/>
        </w:rPr>
      </w:pPr>
    </w:p>
    <w:p>
      <w:pPr>
        <w:pStyle w:val="14"/>
        <w:keepNext w:val="0"/>
        <w:keepLines w:val="0"/>
        <w:pageBreakBefore w:val="0"/>
        <w:kinsoku/>
        <w:wordWrap/>
        <w:overflowPunct/>
        <w:topLinePunct w:val="0"/>
        <w:bidi w:val="0"/>
        <w:snapToGrid/>
        <w:spacing w:line="572" w:lineRule="exact"/>
        <w:ind w:firstLine="3212" w:firstLineChars="1004"/>
        <w:rPr>
          <w:rFonts w:hint="default" w:ascii="Times New Roman" w:hAnsi="Times New Roman" w:eastAsia="仿宋_GB2312"/>
          <w:sz w:val="32"/>
        </w:rPr>
      </w:pPr>
      <w:r>
        <w:rPr>
          <w:rFonts w:ascii="Times New Roman" w:hAnsi="Times New Roman" w:eastAsia="仿宋_GB2312"/>
          <w:sz w:val="32"/>
        </w:rPr>
        <w:t>威海市人民政府安全生产委员会办公室</w:t>
      </w:r>
    </w:p>
    <w:p>
      <w:pPr>
        <w:pStyle w:val="14"/>
        <w:keepNext w:val="0"/>
        <w:keepLines w:val="0"/>
        <w:pageBreakBefore w:val="0"/>
        <w:kinsoku/>
        <w:wordWrap/>
        <w:overflowPunct/>
        <w:topLinePunct w:val="0"/>
        <w:bidi w:val="0"/>
        <w:snapToGrid/>
        <w:spacing w:line="572" w:lineRule="exact"/>
        <w:ind w:firstLine="5132" w:firstLineChars="1604"/>
        <w:rPr>
          <w:rFonts w:hint="default" w:ascii="Times New Roman" w:hAnsi="Times New Roman" w:eastAsia="仿宋_GB2312"/>
          <w:sz w:val="32"/>
        </w:rPr>
      </w:pPr>
      <w:bookmarkStart w:id="0" w:name="_GoBack"/>
      <w:bookmarkEnd w:id="0"/>
      <w:r>
        <w:rPr>
          <w:rFonts w:ascii="Times New Roman" w:hAnsi="Times New Roman" w:eastAsia="仿宋_GB2312"/>
          <w:sz w:val="32"/>
        </w:rPr>
        <w:t>2022年5月</w:t>
      </w:r>
      <w:r>
        <w:rPr>
          <w:rFonts w:hint="eastAsia" w:ascii="Times New Roman" w:hAnsi="Times New Roman" w:eastAsia="仿宋_GB2312"/>
          <w:sz w:val="32"/>
          <w:lang w:val="en-US" w:eastAsia="zh-CN"/>
        </w:rPr>
        <w:t>6</w:t>
      </w:r>
      <w:r>
        <w:rPr>
          <w:rFonts w:ascii="Times New Roman" w:hAnsi="Times New Roman" w:eastAsia="仿宋_GB2312"/>
          <w:sz w:val="32"/>
        </w:rPr>
        <w:t>日</w:t>
      </w: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keepNext w:val="0"/>
        <w:keepLines w:val="0"/>
        <w:pageBreakBefore w:val="0"/>
        <w:widowControl w:val="0"/>
        <w:kinsoku/>
        <w:wordWrap/>
        <w:overflowPunct/>
        <w:topLinePunct w:val="0"/>
        <w:autoSpaceDE/>
        <w:autoSpaceDN/>
        <w:bidi w:val="0"/>
        <w:adjustRightInd/>
        <w:snapToGrid/>
        <w:spacing w:line="572" w:lineRule="exact"/>
        <w:jc w:val="left"/>
        <w:textAlignment w:val="auto"/>
        <w:rPr>
          <w:rFonts w:hint="default" w:ascii="Times New Roman" w:hAnsi="Times New Roman" w:eastAsia="仿宋_GB2312" w:cs="Times New Roman"/>
          <w:sz w:val="44"/>
          <w:szCs w:val="44"/>
          <w:lang w:val="en-US" w:eastAsia="zh-CN"/>
        </w:rPr>
      </w:pPr>
      <w:r>
        <w:rPr>
          <w:rFonts w:hint="default" w:ascii="Times New Roman" w:hAnsi="Times New Roman" w:eastAsia="仿宋_GB2312" w:cs="Times New Roman"/>
          <w:sz w:val="44"/>
          <w:szCs w:val="44"/>
          <w:lang w:val="en-US" w:eastAsia="zh-CN"/>
        </w:rPr>
        <w:t>附件</w:t>
      </w:r>
      <w:r>
        <w:rPr>
          <w:rFonts w:hint="eastAsia" w:ascii="Times New Roman" w:hAnsi="Times New Roman" w:eastAsia="仿宋_GB2312" w:cs="Times New Roman"/>
          <w:sz w:val="44"/>
          <w:szCs w:val="44"/>
          <w:lang w:val="en-US" w:eastAsia="zh-CN"/>
        </w:rPr>
        <w:t>1</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72"/>
          <w:szCs w:val="72"/>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72"/>
          <w:szCs w:val="72"/>
        </w:rPr>
      </w:pPr>
      <w:r>
        <w:rPr>
          <w:rFonts w:hint="eastAsia" w:ascii="方正小标宋简体" w:hAnsi="方正小标宋简体" w:eastAsia="方正小标宋简体" w:cs="方正小标宋简体"/>
          <w:sz w:val="72"/>
          <w:szCs w:val="72"/>
        </w:rPr>
        <w:t>山东省安全生产创新举措</w:t>
      </w: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line="572" w:lineRule="exact"/>
        <w:jc w:val="both"/>
        <w:textAlignment w:val="auto"/>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试</w:t>
      </w: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题</w:t>
      </w: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汇</w:t>
      </w: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编</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（企业版）</w:t>
      </w: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default" w:ascii="Times New Roman" w:hAnsi="Times New Roman" w:eastAsia="楷体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default" w:ascii="Times New Roman" w:hAnsi="Times New Roman" w:eastAsia="楷体_GB2312" w:cs="Times New Roman"/>
          <w:sz w:val="32"/>
          <w:szCs w:val="32"/>
          <w:lang w:val="en-US" w:eastAsia="zh-CN"/>
        </w:rPr>
      </w:pPr>
      <w:r>
        <w:rPr>
          <w:rFonts w:hint="default" w:ascii="Times New Roman" w:hAnsi="Times New Roman" w:eastAsia="楷体_GB2312" w:cs="Times New Roman"/>
          <w:sz w:val="32"/>
          <w:szCs w:val="32"/>
          <w:lang w:val="en-US" w:eastAsia="zh-CN"/>
        </w:rPr>
        <w:t>威海市人民政府安全生产委员会办公室</w:t>
      </w:r>
    </w:p>
    <w:p>
      <w:pPr>
        <w:jc w:val="center"/>
        <w:rPr>
          <w:rFonts w:hint="default" w:ascii="Times New Roman" w:hAnsi="Times New Roman" w:eastAsia="方正小标宋简体" w:cs="Times New Roman"/>
          <w:sz w:val="44"/>
          <w:szCs w:val="44"/>
        </w:rPr>
      </w:pPr>
    </w:p>
    <w:p>
      <w:pPr>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山东省安全生产“八抓二十项”创新举措</w:t>
      </w:r>
    </w:p>
    <w:p>
      <w:pPr>
        <w:rPr>
          <w:rFonts w:hint="default" w:ascii="Times New Roman" w:hAnsi="Times New Roman" w:eastAsia="仿宋_GB2312" w:cs="Times New Roman"/>
          <w:sz w:val="32"/>
          <w:szCs w:val="32"/>
        </w:rPr>
      </w:pPr>
    </w:p>
    <w:p>
      <w:pPr>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一、抓教育培训。</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着力培育安全文化;</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着力抓好警示教育）</w:t>
      </w:r>
    </w:p>
    <w:p>
      <w:pPr>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二、抓制度完善。</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完善法规标准;</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完善责任清单）</w:t>
      </w:r>
    </w:p>
    <w:p>
      <w:pPr>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三、抓苗头隐患。</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建立安全隐患和事故省级直报制度;</w:t>
      </w: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抓好异常事件的分析评估和经验反馈;</w:t>
      </w:r>
      <w:r>
        <w:rPr>
          <w:rFonts w:hint="default"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把隐患当事故依法依规处理）</w:t>
      </w:r>
    </w:p>
    <w:p>
      <w:pPr>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四、抓日常监管。</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rPr>
        <w:t>强化各级安委办力量保障;</w:t>
      </w:r>
      <w:r>
        <w:rPr>
          <w:rFonts w:hint="default"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rPr>
        <w:t>强化企业内部监管;</w:t>
      </w:r>
      <w:r>
        <w:rPr>
          <w:rFonts w:hint="default"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强化政府及相关部门对企业的监督;</w:t>
      </w:r>
      <w:r>
        <w:rPr>
          <w:rFonts w:hint="default" w:ascii="Times New Roman" w:hAnsi="Times New Roman" w:eastAsia="仿宋_GB2312" w:cs="Times New Roman"/>
          <w:sz w:val="32"/>
          <w:szCs w:val="32"/>
          <w:lang w:val="en-US" w:eastAsia="zh-CN"/>
        </w:rPr>
        <w:t>11.</w:t>
      </w:r>
      <w:r>
        <w:rPr>
          <w:rFonts w:hint="default" w:ascii="Times New Roman" w:hAnsi="Times New Roman" w:eastAsia="仿宋_GB2312" w:cs="Times New Roman"/>
          <w:sz w:val="32"/>
          <w:szCs w:val="32"/>
        </w:rPr>
        <w:t>强化上级政府及相关部门对下级政府及相关部门的监督;</w:t>
      </w:r>
      <w:r>
        <w:rPr>
          <w:rFonts w:hint="default"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强化纪检监察部门对政府及相关部门的监督）</w:t>
      </w:r>
    </w:p>
    <w:p>
      <w:pPr>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五、抓严惩重罚。</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13.</w:t>
      </w:r>
      <w:r>
        <w:rPr>
          <w:rFonts w:hint="default" w:ascii="Times New Roman" w:hAnsi="Times New Roman" w:eastAsia="仿宋_GB2312" w:cs="Times New Roman"/>
          <w:sz w:val="32"/>
          <w:szCs w:val="32"/>
        </w:rPr>
        <w:t>从严监管企业;</w:t>
      </w:r>
      <w:r>
        <w:rPr>
          <w:rFonts w:hint="default" w:ascii="Times New Roman" w:hAnsi="Times New Roman" w:eastAsia="仿宋_GB2312" w:cs="Times New Roman"/>
          <w:sz w:val="32"/>
          <w:szCs w:val="32"/>
          <w:lang w:val="en-US" w:eastAsia="zh-CN"/>
        </w:rPr>
        <w:t>14.</w:t>
      </w:r>
      <w:r>
        <w:rPr>
          <w:rFonts w:hint="default" w:ascii="Times New Roman" w:hAnsi="Times New Roman" w:eastAsia="仿宋_GB2312" w:cs="Times New Roman"/>
          <w:sz w:val="32"/>
          <w:szCs w:val="32"/>
        </w:rPr>
        <w:t>把安全生产全面纳入考核表彰体系;</w:t>
      </w:r>
      <w:r>
        <w:rPr>
          <w:rFonts w:hint="default" w:ascii="Times New Roman" w:hAnsi="Times New Roman" w:eastAsia="仿宋_GB2312" w:cs="Times New Roman"/>
          <w:sz w:val="32"/>
          <w:szCs w:val="32"/>
          <w:lang w:val="en-US" w:eastAsia="zh-CN"/>
        </w:rPr>
        <w:t>15.</w:t>
      </w:r>
      <w:r>
        <w:rPr>
          <w:rFonts w:hint="default" w:ascii="Times New Roman" w:hAnsi="Times New Roman" w:eastAsia="仿宋_GB2312" w:cs="Times New Roman"/>
          <w:sz w:val="32"/>
          <w:szCs w:val="32"/>
        </w:rPr>
        <w:t>探索实行量化问责）</w:t>
      </w:r>
    </w:p>
    <w:p>
      <w:pPr>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六、抓本质安全。</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16.</w:t>
      </w:r>
      <w:r>
        <w:rPr>
          <w:rFonts w:hint="default" w:ascii="Times New Roman" w:hAnsi="Times New Roman" w:eastAsia="仿宋_GB2312" w:cs="Times New Roman"/>
          <w:sz w:val="32"/>
          <w:szCs w:val="32"/>
        </w:rPr>
        <w:t>加快推进产业升级和技术改造;</w:t>
      </w:r>
      <w:r>
        <w:rPr>
          <w:rFonts w:hint="default" w:ascii="Times New Roman" w:hAnsi="Times New Roman" w:eastAsia="仿宋_GB2312" w:cs="Times New Roman"/>
          <w:sz w:val="32"/>
          <w:szCs w:val="32"/>
          <w:lang w:val="en-US" w:eastAsia="zh-CN"/>
        </w:rPr>
        <w:t>17.</w:t>
      </w:r>
      <w:r>
        <w:rPr>
          <w:rFonts w:hint="default" w:ascii="Times New Roman" w:hAnsi="Times New Roman" w:eastAsia="仿宋_GB2312" w:cs="Times New Roman"/>
          <w:sz w:val="32"/>
          <w:szCs w:val="32"/>
        </w:rPr>
        <w:t>完善信息化监管体系）</w:t>
      </w:r>
    </w:p>
    <w:p>
      <w:pPr>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七、抓应急处置。</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18.</w:t>
      </w:r>
      <w:r>
        <w:rPr>
          <w:rFonts w:hint="default" w:ascii="Times New Roman" w:hAnsi="Times New Roman" w:eastAsia="仿宋_GB2312" w:cs="Times New Roman"/>
          <w:sz w:val="32"/>
          <w:szCs w:val="32"/>
        </w:rPr>
        <w:t>抓好日常应急演练）</w:t>
      </w:r>
    </w:p>
    <w:p>
      <w:pPr>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八、抓社会共治。</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19.</w:t>
      </w:r>
      <w:r>
        <w:rPr>
          <w:rFonts w:hint="default" w:ascii="Times New Roman" w:hAnsi="Times New Roman" w:eastAsia="仿宋_GB2312" w:cs="Times New Roman"/>
          <w:sz w:val="32"/>
          <w:szCs w:val="32"/>
        </w:rPr>
        <w:t>加强信息公开;</w:t>
      </w:r>
      <w:r>
        <w:rPr>
          <w:rFonts w:hint="default" w:ascii="Times New Roman" w:hAnsi="Times New Roman" w:eastAsia="仿宋_GB2312" w:cs="Times New Roman"/>
          <w:sz w:val="32"/>
          <w:szCs w:val="32"/>
          <w:lang w:val="en-US" w:eastAsia="zh-CN"/>
        </w:rPr>
        <w:t>20.</w:t>
      </w:r>
      <w:r>
        <w:rPr>
          <w:rFonts w:hint="default" w:ascii="Times New Roman" w:hAnsi="Times New Roman" w:eastAsia="仿宋_GB2312" w:cs="Times New Roman"/>
          <w:sz w:val="32"/>
          <w:szCs w:val="32"/>
        </w:rPr>
        <w:t>实行有奖举报）</w:t>
      </w: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rPr>
        <w:sectPr>
          <w:headerReference r:id="rId4" w:type="first"/>
          <w:footerReference r:id="rId6" w:type="first"/>
          <w:headerReference r:id="rId3" w:type="default"/>
          <w:footerReference r:id="rId5" w:type="default"/>
          <w:pgSz w:w="11906" w:h="16838"/>
          <w:pgMar w:top="2098" w:right="1474" w:bottom="1984" w:left="1587" w:header="851" w:footer="992" w:gutter="0"/>
          <w:pgNumType w:fmt="decimal"/>
          <w:cols w:space="425" w:num="1"/>
          <w:titlePg/>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一、抓教育培训</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一、选择题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1.《关于切实加强非煤矿山企业全员安全生产培训的意见》要求，工作目标中明确为争取1年左右时间实现三个100%，其中新员工、转岗换岗及离岗______个月再上岗员工培训率为100%。</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B.2</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C.3</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D.6</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2.《关于切实加强非煤矿山企业全员安全生产培训的意见》要求，凡发生______的，一律倒查企业培训责任并依法依规追究企业相关责任人的责任。</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A.较大事故</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B.重大事故</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C.特别重大事故</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D.死亡事故</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3.《关于切实加强非煤矿山企业全员安全生产培训的意见》要求，企业是安全培训的主体，企业要建立的安全培训责任体系</w:t>
      </w:r>
      <w:r>
        <w:rPr>
          <w:rFonts w:hint="default" w:ascii="Times New Roman" w:hAnsi="Times New Roman"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rPr>
        <w:t>。</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A.负责人负总责</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B.分管负责人“一岗双责”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C.各业务部门齐抓共管</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D.全体员工岗位履责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4.2022年山东省人民政府安全生产委员会办公室关于印发《全省企业安全生产“大学习、大培训、大考试”专项行动工作方案》的通知指出，2022年我省组织开展“大学习、</w:t>
      </w:r>
      <w:r>
        <w:rPr>
          <w:rFonts w:hint="default" w:ascii="Times New Roman" w:hAnsi="Times New Roman"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rPr>
        <w:t>、大考试”专项行动。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A大教育</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B大演练</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C大培训</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D大宣传</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5.2022年山东省人民政府安全生产委员会办公室关于印发《全省企业安全生产“大学习、大培训、大考试”专项行动工作方案》的通知指出，全省企业全员安全生产”大学习、大培训、大考试”专项行动学习内容包括：</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A.安全生产法律、法规、规章、标准及安全生产重要文件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B.2021年以来我省加强安全生产系列创新举措</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C.近年来省内外生产安全事故案例</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D.有关安全生产基本知识、操作技能</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6.2022年山东省人民政府安全生产委员会办公室关于印发《全省企业安全生产“大学习、大培训、大考试”专项行动工作方案》的通知指出，全省企业全员安全生产“大学习、大培训、大考试”专项行动参加人员包括：</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A.企业主要负责人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B.企业分管负责人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C.安全总监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D.企业安全生产管理人员</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E.企业一线岗位员工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答案：ABCDE</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7.《强化生产经营单位安全生产主体责任扎实开展开工“第一课”活动》指出，开工“第一课”是</w:t>
      </w:r>
      <w:r>
        <w:rPr>
          <w:rFonts w:hint="default" w:ascii="Times New Roman" w:hAnsi="Times New Roman"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rPr>
        <w:t>。</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A.政策形势课</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B.思想动员课</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C.警示教育课</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D.安全部署课</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8.《强化生产经营单位安全生产主体责任扎实开展开工“第一课”活动》指出，在全年其他节假日或各种情况停工停产的，生产经营单位应根据人员思想状况、设备设施状态等情况，在</w:t>
      </w:r>
      <w:r>
        <w:rPr>
          <w:rFonts w:hint="default" w:ascii="Times New Roman" w:hAnsi="Times New Roman"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rPr>
        <w:t>组织开展有针对性的安全生产教育培训，上好开工“第一课”。</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A.复产复工前</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B.停产停工前</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9.《关于组织做好事故警示教育现场会的通知》要求，对发生的亡人事故，应在事故发生后</w:t>
      </w:r>
      <w:r>
        <w:rPr>
          <w:rFonts w:hint="default" w:ascii="Times New Roman" w:hAnsi="Times New Roman"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rPr>
        <w:t>天内召开事故警示教育现场会。</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A.5天</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B.10天</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C.15天</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D.20天</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二、判断题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10.《关于切实加强非煤矿山企业全员安全生产培训的意见》要求，保险机构要积极探索“安责险+安全培训”模式，由事后赔付向事前防范转变。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11.《关于切实加强非煤矿山企业全员安全生产培训的意见》要求，企业年度安全培训计划所需经费，应从安全生产费用和职工培训经费中列支，不足部分，可按照国家有关规定从年度预算中列支</w:t>
      </w:r>
      <w:r>
        <w:rPr>
          <w:rFonts w:hint="default" w:ascii="Times New Roman" w:hAnsi="Times New Roman" w:eastAsia="仿宋_GB2312" w:cs="Times New Roman"/>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12.2022年山东省人民政府安全生产委员会办公室关于印发《全省企业安全生产“大学习、大培训、大考试”专项行动工作方案》的通知指出，全省企业全员安全生产”大学习、大培训、大考试”专项行动，从业人员应当重点学习安全生产规章制度和基本知识、安全操作规程、安全操作技能及事故应急处理措施等岗位应知应会知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13.《强化生产经营单位安全生产主体责任扎实开展开工“第一课”活动》指出，全省各类生产经营单位无论是否停产停工，在每年春节后第一个上班日，必须集中上好安全生产开工“第一课”。</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14.《强化生产经营单位安全生产主体责任扎实开展开工“第一课”活动》指出，生产经营单位应根据本单位实际，采取全员会、视频会、现场会等方式组织实施，但必须保证覆盖本单位各层级、各岗位和全体从业人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15.《强化生产经营单位安全生产主体责任扎实开展开工“第一课”活动》指出，上好以安全生产为主要内容的开工“第一课”是强化生产经营单位安全生产主体责任和主要负责人第一责任人责任、提高从业人员安全防范意识、确保复工复产安全的一项重要举措。</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16.《关于组织做好事故警示教育现场会的通知》要求，事故警示教育现场会结束后，应将有关情况报上一级政府安委会办公室备案。</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17.2022年山东省人民政府安全生产委员会办公室关于印发《全省企业安全生产“大学习、大培训、大考试”专项行动工作方案》的通知指出，全省企业全员安全生产”大学习、大培训、大考试”专项行动中，无故不参加考试的主要负责人、安全总监及其企业单位将在全省范围通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方正小标宋简体"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二、抓制度完善</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一、选择题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1.《山东省安全生产条例》规定，从业人员（）以上的高危生产经营单位和从业人员（）以上的其他生产经营单</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位，应当依法设置安全总监。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A.一百人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B.二百人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C.三百人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D.四百人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2.《山东省安全生产条例》规定，从业人员（）以上的高危生产经营单位和从业人员（）以上的其他生产经营单位，应当建立安全生产委员会。</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A.三百人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B.五百人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C.八百人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D.一千人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3.《山东省生产安全事故报告和调查处理办法》规定，具有下列情形之一的较大涉险事故，按照较大事故的规定报告，并组织抢险救援：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A.涉险10人以上的事故</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B.造成3人以上被困或者下落不明的事故</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C.紧急疏散人员500人以上的事故</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D.危及重要场所和设施安全的事故</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4.《山东省安全生产工作任务分工》规定，负责城镇燃气安全管理，指导农村管道天然气工程质量和运行安全的单位是（）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A.省应急管理厅</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B.省住房城乡建设厅</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C.省安委会办公室</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D.省工业和信息化厅</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山东省生产经营单位全员安全生产责任清单》规定，（）负责组织制定本单位动火作业、临时用电作业、受限空间（有限空间）作业、高空作业、盲板抽堵作业、吊装作业、动土作业、断路作业、设备检修等特殊作业管理制度，并监督落实。</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A.生产经营单位主要负责人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B.生产经营单位安全生产分管负责人（安全总监）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C.分管生产、设备、技术等其他负责人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D.安全生产管理人员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6.《山东省安全生产条例》规定，从业人员（）以上的高危生产经营单位和从业人员（）以上的其他生产经营单位，应当依法设置安全总监。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A.一百人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B.二百人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C.三百人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D.四百人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7.《山东省安全生产条例》规定，从业人员（）以上的高危生产经营单位和从业人员（）以上的其他生产经营单位，应当建立安全生产委员会。</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A.三百人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B.五百人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C.八百人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D.一千人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8.《山东省安全生产条例》规定，安全生产工作应当遵循（）（）（）和谁主管谁负责、谁审批谁负责、谁监管谁负责的原则，并实行属地监管与分级监管相结合、以属地监管为主的监督管理体制。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A.管行业必须管安全</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B.管领域必须管安全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C.管业务必须管安全</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D.管生产经营必须管安全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9.《山东省安全生产条例》规定，（）对本单位的安全生产承担主体责任。</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A.生产经营单位</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B.生产经营单位主要负责人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C.生产经营单位安全生产管理人员</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D.安全生产管理机构</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10.《山东省安全生产条例》规定，（）、（）、（）、（）、港区、风景区、自然保护区、旅游度假区等功能区管理机构，应当设立或者明确安全生产监督管理机构，强化安全生产监管力量，按照职责对管理区域内生产经营单位安全生产状况进行监督检查，协助上级人民政府有关部门或者按照授权依法履行安全生产监督管理职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A.开发区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B.工业园区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C.保税区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D.高新区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11.《山东省安全生产条例》规定，县级以上人民政府及其有关部门对在（）、（）、（）、（）等方面取得显著成绩的单位和个人，按照有关规定给予表彰和奖励。</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A.改善安全生产条件</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B.防止生产安全事故</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C.参加抢险救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D.研究和推广安全生产科学技术与先进管理经验</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12.下列选项属于《山东省安全生产条例》规定的生产经营单位应当具备的安全生产条件的是（）。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A.生产经营场所和设备、设施、工艺符合规定要求</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B.有健全的安全生产规章制度和操作规程</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C.有保证安全生产所必需的资金投入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D.依法设置安全生产管理机构或者配备安全生产管理人员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13.下列选项属于《山东省安全生产条例》规定的生产经营单位应当具备的安全生产条件的是（）。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A.主要负责人和安全生产管理人员具备与生产经营活动相适应的安全生产知识和管理能力</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B.从业人员经安全生产教育和培训合格</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C.配备符合国家标准或者行业标准的劳动防护用品</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D.法律法规、国家标准或者行业标准规定的其他安全生产条件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14.下列属于《山东省安全生产条例》规定的其他负责人的是（）。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A.分管安全生产的负责人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B.安全总监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C.主要技术负责人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D.其他相关负责人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15.《山东省安全生产条例》规定，生产经营单位的主要负责人是本单位安全生产第一责任人，对安全生产工作全面负责，具体履行下列职责（）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A.组织或者参与拟订本单位安全生产规章制度和操作规程</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B.建立健全本单位全员安全生产责任制，并组织落实和考核奖惩</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C.组织制定并实施本单位安全生产规章制度和操作规程</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D.确定分管安全生产的负责人或者安全总监、主要技术负责人、其他相关负责人的安全管理职责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16.下列属于《山东省安全生产条例》规定的高危生产经营单位的是（）。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A.矿山单位B.渔业生产单位C.粉尘涉爆单位D.涉氨制冷单位</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17.《山东省安全生产条例》规定，高危生产经营单位以外的其他生产经营单位，从业人员超过（）的，应当设置安全生产管理机构或者配备专职安全生产管理人员。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A.五十人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B.一百人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C.二百人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D.三百人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18.《山东省安全生产条例》规定，生产经营单位的安全生产管理机构和安全生产管理人员履行下列职责（）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A.组织或者参与拟订本单位安全生产规章制度和操作规程</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B.对本单位涉及安全生产的经营决策提出改进建议，并督促其他机构、人员履行安全生产职责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C.组织拟定本单位安全生产管理年度工作计划和目标，进行考核并提出奖惩意见</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D.监督安全生产资金投入和技术措施的落实</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19.《山东省安全生产条例》规定生产经营单位进行爆破、吊装、悬挂、挖掘、动火、临时用电、危险装置设备试生产、有限空间、有毒有害、建筑物和构筑物拆除，以及临近油气管道、高压输电线路等危险作业，应当遵守下列规定：</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A.对作业现场进行安全风险辨识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B.制定作业方案和安全防范措施</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rPr>
        <w:t>C.确定专人进行现场作业的统一指挥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D.进行安全技术交底</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20.《山东省安全生产条例》规定，生产安全事故发生后，生产经营单位应当立即启动应急救援预案。事故现场作业人员、带班人员和安全生产管理人员等有关人员应当立即向本单位负责人报告，单位负责人接到报告后，应当于（）小时内向事故发生地负有安全生产监督管理职责的部门报告。事故涉及到两个以上生产经营单位的，相关单位均应当报告。</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A.半</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B.一</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C.一个半</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D.二</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21.《山东省安全生产条例》规定，以下（）是《山东省安全生产条例》规定的生产经营单位主要负责人的安全生产职责：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A.对本单位涉及安全生产的经营决策提出改进建议，并督促其他机构、人员履行安全生产职责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B.组织拟定本单位安全生产管理年度工作计划和目标，进行考核并提出奖惩意见</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C.监督安全生产资金投入和技术措施的落实</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D.组织制定并实施本单位安全生产教育和培训计划</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22.《山东省安全生产条例》中，（）不属于高危生产经营单位。</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A.涉氨制冷</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B.粉尘涉爆</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C.有限空间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D.金属冶炼</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二、判断题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23.《山东省安全生产条例》规定，安全生产工作应当遵循管行业必须管安全、管业务必须管安全、管生产经营必须管安全和谁主管谁负责、谁审批谁负责、谁监管谁负责的原则，并实行属地监管。</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24.粉尘涉爆、涉氨制冷单位属于《山东省安全生产条例》规定的高危生产经营单位。</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25.《山东省安全生产条例》规定，生产经营单位应当建立并落实单位负责人现场带班制度，制定带班考核奖惩办法，定期公布带班计划并接受从业人员监督。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26.《山东省生产安全事故应急办法》规定，高危和人员密集单位应当每半年至少组织1次综合或者专项应急预案演练，每2年对所有专项应急预案至少组织1次演练，每半年对所有现场处置方案至少组织1次演练。</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27.《山东省生产安全事故应急办法》规定，高危和人员密集单位应当每2年至少进行1次应急预案评估；其他生产经营单位应当每3年至少进行1次应急预案评估。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28.《山东省生产安全事故应急办法》规定，规模较大、危险性较高的危险物品的生产、经营、储存、装卸、运输单位和使用危险物品从事生产并且使用量达到规定数量的单位应当成立包括工艺、设备、安全等人员组成的应急处置技术组，实行24小时应急值班。</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29.《山东省生产经营单位全员安全生产责任清单》规定，生产经营单位主要负责人每季度至少全面检查一次，属于高危生产经营单位的，每月至少全面检查一次。</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30.《山东省生产经营单位全员安全生产责任清单》规定，生产经营单位应依法履行安全生产主体责任，建立健全安全生产责任制。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31.《山东省生产经营单位全员安全生产责任清单》规定，生产经营单位的主要负责人是本单位安全生产的第一责任人，对本单位的安全生产工作全面负责。其他负责人对职责范围内的安全生产工作负责。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32.《山东省生产经营单位全员安全生产责任清单》规定，生产经营单位分管生产、设备、技术等其他负责人不需要落实安全生产责任制。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33.《山东省安全生产条例》规定，安全生产工作应当遵循管行业必须管安全、管业务必须管安全、管生产经营必须管安全和谁主管谁负责、谁审批谁负责、谁监管谁负责的原则，并实行属地监管。</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34.粉尘涉爆、涉氨制冷单位属于《山东省安全生产条例》规定的高危生产经营单位</w:t>
      </w:r>
      <w:r>
        <w:rPr>
          <w:rFonts w:hint="default" w:ascii="Times New Roman" w:hAnsi="Times New Roman" w:eastAsia="仿宋_GB2312" w:cs="Times New Roman"/>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35.《山东省安全生产条例》规定，生产经营单位应当建立并落实单位负责人现场带班制度，制定带班考核奖惩办法，定期公布带班计划并接受从业人员监督。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36.《山东省安全生产条例》规定，生产经营单位应当建立安全生产责任制和安全生产规章制度，加大安全生产资金、物资、技术、人员的投入保障力度，改善安全生产条件，加强安全生产标准化、信息化建设，构建安全风险分级管控和隐患排查治理双重预防机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37.《山东省安全生产条例》规定，生产经营单位的安全生产管理机构依法组织从业人员参加本单位安全生产工作的民主管理和民主监督，维护从业人员的合法权益。</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38.《山东省安全生产条例》规定，矿山、建筑施工、危险化学品、烟花爆竹、民用爆炸物品等行业、领域的生产经营单位，应当依法取得相关安全生产许可；未取得许可的，不得从事相关生产经营活动。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39.《山东省安全生产条例》明确规定，安全生产规章制度应当包括安全生产资金投入、劳动防护用品管理、安全设施和设备管理、安全生产教育和培训、安全生产检查、风险分级管控、隐患排查治理、危险作业管理、安全生产奖惩、应急预案管理、事故报告和事故应急救援等制度。</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40.《山东省安全生产条例》规定，生产经营单位其他负责人、职能部门负责人没有安全生产责任。</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41.《山东省安全生产条例》规定，生产经营单位的主要负责人包括对本单位生产经营负有全面领导责任的法定代表人、实际控制人以及其他主要决策人；其他负责人包括分管安全生产的负责人或者安全总监、主要技术负责人和其他相关负责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42.《山东省安全生产条例》规定，高危生产经营单位以外的其他生产经营单位，从业人员在一百人以下的，应当配备专职安全生产管理人员。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43.《山东省安全生产条例》规定，矿山、交通运输、危险化学品、烟花爆竹、建筑施工、民用爆炸物品、金属冶炼、渔业生产等属于国家规定的高危行业、领域的生产经营单位，应当投保安全生产责任保险。</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44.《山东省安全生产条例》规定，生产经营单位应当明确本单位从业人员配备劳动防护用品的种类和型号，为从业人员无偿提供符合标准的劳动防护用品，也可以货币形式或者其他物品替代。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45.《山东省安全生产条例》规定，生产经营单位应当建立健全安全风险分级管控制度，明确风险点排查、风险评价、风险等级评定的程序、方法和标准，编制风险分级管控清单，列明管控重点、管控机构、责任人员、监督管理、安全防护和应急处置等安全风险管控措施。</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46.《山东省安全生产条例》规定，生产经营单位无需对常驻协作单位安全生产工作进行统一协调管理。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47.《山东省安全生产条例》规定，生产经营单位严格履行安全生产责任，在规定时间内未发生生产安全事故，或者在安全生产检查中未发现安全生产违法行为、重大事故隐患的，应当适当减少对其安全生产检查的频次。</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48.《山东省安全生产条例》规定，因安全生产违法行为造成重大事故隐患或者导致重大事故，致使国家利益或者社会公共利益受到侵害的，人民法院可以提起公益诉讼。</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49.《山东省安全生产条例》规定，高危生产经营单位和人员密集场所经营单位应当每半年至少组织一次综合或者专项应急救援预案演练，每两年对所有专项应急救援预案至少组织一次演练，每半年对所有现场处置方案至少组织一次演练。</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50.《山东省安全生产条例》规定，事故调查组由有关人民政府、应急管理部门、其他有关的负有安全生产监督管理职责的部门、公安机关以及工会派人组成；监察机关、人民检察院可以介入调查。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三、抓苗头隐患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一、选择题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1.《关于加强安全生产隐患和事故省级直报工作的通知》要求，事故直报的范围包括（）。</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A.造成人员死亡的生产安全事故</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B.有严重社会影响的生产安全事故</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C.发生在敏感时间、敏感地点或者涉及敏感人员的事故</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D.造成人员被困的涉险事件等</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关于印发&lt;重大安全生产隐患直报工作规定&gt;的通知》要求，重大安全生产隐患按照“（）”的原则，由排查出重大安全生产隐患的生产经营单位或者市、县（市、区）人民政府安委会办公室、乡镇（街道）通过“安全生产隐患和事故省级直报系统”向省政府安委会办公室进行直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A.谁排查</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B.谁发现</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C.谁上报</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D.谁治理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二、判断题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3.《关于印发&lt;重大安全生产隐患直报工作规定&gt;的通知》要求，重大安全生产隐患直报情况不纳入安全生产工作考核，对未按规定直报的重大安全生产隐患不会在年度考核中量化扣分。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4.《关于印发&lt;重大安全生产隐患直报工作规定&gt;的通知》要求，重大安全生产隐患信息应当在隐患排查次日完成省级直报系统录入。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5.《关于印发&lt;重大安全生产隐患直报工作规定&gt;的通知》要求，重大安全生产隐患直报工作纳入省安全生产专项督导组督导内容和驻点监管内容。</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四、抓日常监管</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一、选择题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1.以下属于工贸行业领域安全生产专项整治三年行动2021年集中攻坚严厉打击违法行为的是：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A.不严格履行建设项目安全设施“三同时”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B.不按批准的安全设施设计建设或生产</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C.使用国家明令禁止使用的设备及工艺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D.对外包队伍以包代管</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关于全面加强危险化学品安全生产工作的实施意见》要求，将危险化学品生产储存企业区分“红、橙、黄、蓝”四级安全风险，实行动态评估分级，对“红”色等级企业依法责令停产停业整顿，对“橙”色等级企业每半年至少进行1次全面执法检查，并派员进行指导帮扶或驻点监督，对“（）”色等级企业实行“两随机一公开”或“四不两直”抽查检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A.红、蓝</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B.黄、蓝</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C.红、橙</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D.红、蓝</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关于全面加强危险化学品安全生产工作的实施意见》要求，依法建立安全生产信用分级分类制度，对存在谎报、瞒报、匿报等严重危害人民群众生命财产安全的主观故意行为的单位及主要责任人，依法（），实施联合惩戒。</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pacing w:val="-20"/>
          <w:sz w:val="28"/>
          <w:szCs w:val="28"/>
        </w:rPr>
        <w:t>A.纳入诚信体系</w:t>
      </w:r>
      <w:r>
        <w:rPr>
          <w:rFonts w:hint="default" w:ascii="Times New Roman" w:hAnsi="Times New Roman" w:eastAsia="仿宋_GB2312" w:cs="Times New Roman"/>
          <w:spacing w:val="-20"/>
          <w:sz w:val="28"/>
          <w:szCs w:val="28"/>
          <w:lang w:val="en-US" w:eastAsia="zh-CN"/>
        </w:rPr>
        <w:t xml:space="preserve">  </w:t>
      </w:r>
      <w:r>
        <w:rPr>
          <w:rFonts w:hint="default" w:ascii="Times New Roman" w:hAnsi="Times New Roman" w:eastAsia="仿宋_GB2312" w:cs="Times New Roman"/>
          <w:spacing w:val="-20"/>
          <w:sz w:val="28"/>
          <w:szCs w:val="28"/>
        </w:rPr>
        <w:t>B.进行行政罚款</w:t>
      </w:r>
      <w:r>
        <w:rPr>
          <w:rFonts w:hint="default" w:ascii="Times New Roman" w:hAnsi="Times New Roman" w:eastAsia="仿宋_GB2312" w:cs="Times New Roman"/>
          <w:spacing w:val="-20"/>
          <w:sz w:val="28"/>
          <w:szCs w:val="28"/>
          <w:lang w:val="en-US" w:eastAsia="zh-CN"/>
        </w:rPr>
        <w:t xml:space="preserve">  </w:t>
      </w:r>
      <w:r>
        <w:rPr>
          <w:rFonts w:hint="default" w:ascii="Times New Roman" w:hAnsi="Times New Roman" w:eastAsia="仿宋_GB2312" w:cs="Times New Roman"/>
          <w:spacing w:val="-20"/>
          <w:sz w:val="28"/>
          <w:szCs w:val="28"/>
        </w:rPr>
        <w:t>C.进行行政拘留</w:t>
      </w:r>
      <w:r>
        <w:rPr>
          <w:rFonts w:hint="default" w:ascii="Times New Roman" w:hAnsi="Times New Roman" w:eastAsia="仿宋_GB2312" w:cs="Times New Roman"/>
          <w:spacing w:val="-20"/>
          <w:sz w:val="28"/>
          <w:szCs w:val="28"/>
          <w:lang w:val="en-US" w:eastAsia="zh-CN"/>
        </w:rPr>
        <w:t xml:space="preserve">  </w:t>
      </w:r>
      <w:r>
        <w:rPr>
          <w:rFonts w:hint="default" w:ascii="Times New Roman" w:hAnsi="Times New Roman" w:eastAsia="仿宋_GB2312" w:cs="Times New Roman"/>
          <w:spacing w:val="-20"/>
          <w:sz w:val="28"/>
          <w:szCs w:val="28"/>
        </w:rPr>
        <w:t>D.取消从业资格</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关于全面加强危险化学品安全生产工作的实施意见》要求，实施安全技能提升行动计划，采取理论知识更新线上学习、实操技能线下训练的方式，普及线上线下高度融合的安全培训空间，组织开展全员安全培训和化工安全等紧缺性专业在职教育，2022年年底前，化工企业从业人员中取得职业资格证书或职业技能等级证书的比例达到（）以上。</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B.20%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C.30%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D.40%</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5.《关于全面加强危险化学品安全生产工作的实施意见》要求，企业每半年至少组织1次综合或者专项应急预案演练，每2年对所有专项应急预案至少组织1次演练，每（）对所有现场处置方案至少组织1次演练。</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A.月</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B.季度</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C.半年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关于全面加强危险化学品安全生产工作的实施意见》要求，健全完善危险化学品（）、（）、（）、使用、（）和废弃处置等环节的安全监管责任清单；在相关安全监管职责未明确责任部门前，应急管理部门通过牵头协调、约谈督办、汇总通报等方式，履行危险化学品安全综合监督管理兜底责任。</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A.生产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B.储存</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C.经营</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D.运输</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7.《深化非煤矿山安全生产专项整治实施方案》要求，所有尾矿库必须至少配备水力、安全、环保、选矿等专业技术人员各</w:t>
      </w:r>
      <w:r>
        <w:rPr>
          <w:rFonts w:hint="default" w:ascii="Times New Roman" w:hAnsi="Times New Roman"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rPr>
        <w:t>名。</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B．2</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C．3</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D．4</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8.《深化非煤矿山安全生产专项整治实施方案》要求，坚持</w:t>
      </w:r>
      <w:r>
        <w:rPr>
          <w:rFonts w:hint="default" w:ascii="Times New Roman" w:hAnsi="Times New Roman"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rPr>
        <w:t>强化企业主体责任和监管责任落实。</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A．问题导向</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B．责任导向</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C．目标导向</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D．结果导向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9.地下矿山应设置安全生产管理机构，严格按照《山东省生产经营单位安全生产主体责任规定》配备安全管理人员，最低不少于</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B．2</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C．3</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D．5</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10.《山东省落实地下非煤矿山企业安全生产主体责任的若干规定》要求，矿山企业必须配备______年以上地下矿山工作经验、具有中级以上技术职称的采矿、地测、机电等专业技术人员。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A.2</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B．3</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C．4</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D．5</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11.《山东省落实地下非煤矿山企业安全生产主体责任的若干规定》要求，落实______的安全生产责任，建立全员责任清单。</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A．全岗位</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B．全人员</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C．全过程</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D．全环节</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12.《山东省深井非煤矿山安全风险管控若干规定》要求，深井矿山年度安全费用提取不应小于______元/吨，加提额度不应小于5元/吨。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A．12</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B．15</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C．20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D．22</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13.《山东省深井非煤矿山安全风险管控若干规定》要求，环境湿球温度超过______摄氏度时，应采取加大风量或制冷降温，人员连续作业不应该超过2小时。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A．27</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B．28</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C．29</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D．30</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14.《山东省深井非煤矿山安全风险管控若干规定》要求，深井矿山应建立地压在线监测系统，监测系统应具备监测数据_____等功能。</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A．智能分析</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B．自动预警</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C．信息推送</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D．应急处置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15.《山东省尾矿库闭库销号管理办法（试行）》规定，特殊情况下，不能按期完成闭库的，应当报经原审批机关同意后可延期，但延长期限不得超过______个月。</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B．3</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C．6</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D．12</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16.《山东省尾矿库闭库销号管理办法（试行）》规定，完成闭库治理的尾矿库，生产经营单位或者县级人民政府指定单位要在竣工验收之日起______日内向县级人民政府提出闭库销号申请。</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A．7</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B．15</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C．30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D．60</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17.《国家矿山安监局矿山安全生产专项整治督导调研发现问题整改工作方案》要求，十四五期间，新批准探矿权转采矿权划定矿区范围、新出让地下非煤开采项目，必须严格控制建设规模，金矿必须达到______万吨/年、铁矿必须达到______万吨/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A．9、45</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B．9、50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C．10、45</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D．10、50</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18.《国家矿山安监局矿山安全生产专项整治督导调研发现问题整改工作方案》要求，凡核定能力或生产规模金矿达不到______万吨/年、铁矿达不到______万吨/年，2022年底前达不到该规模的一律关闭。</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A．5、25</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B．6、25</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C．5、30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D．6、30</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19.《国家矿山安监局矿山安全生产专项整治督导调研发现问题整改工作方案》要求，非煤矿山企业主要负责人应______组织制定年度培训计划并严格组织实施。</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A．分层次</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B．分类别</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C．分专业</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D．分岗位</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20.《关于加强非煤矿山外包队伍资质许可和施工管理的意见》要求，发包单位应当建立外包工程安全生产绩效考核机制，制定考核细则，对承包单位及其项目部每______进行一次安全生产绩效考核。</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A．月</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B．季度</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C．半年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21.《关于加强非煤矿山外包队伍资质许可和施工管理的意见》要求，项目部按照规定应当配备与工程施工作业相适应的采矿、机电、通风、地测（防治水）等专业专职工程技术人员，至少配备______名注册安全工程师或者具备______年以上井下工作经验的专职安全生产管理人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A．1、3</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B．1、5</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C．2、3</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D．2、5</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22.《关于加强非煤矿山外包队伍资质许可和施工管理的意见》要求，优化企业资质审批方式，通过数据共享、在线核验等方式，精简企业申请材料，加快电子证照应用，逐步实现“______”，提高审批效率。</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A．减材料</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B．减跑动</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C．减环节</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D．减时限</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23.《全省金属非金属地下矿山外包工程安全生产专项整治方案》要求，一个生产系统承包单位超过______家的，或将主通风、主提升、供排水、供配电、主供风系统及其设备设施的运行管理进行分项发包的是整治重点内容。</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A．2</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B．3</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C．4</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D．5</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24.《全省金属非金属地下矿山外包工程安全生产专项整治方案》要求，承托方（承包单位）法定代表人（实际控制人或者主要负责人）对其项目部每______至少进行一次安全生产现场检查。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A．月</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B．季度</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C．半年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25.《全省金属非金属地下矿山外包工程安全生产专项整治方案》要求，发包矿山企业，对施工队伍、外包工程按照统一部署、______要求，加强对外包施工单位的管理。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A．统一培训</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B．统一考核</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C．统一检查</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D．统一奖惩</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26.改扩建项目及延期一次以上的新项目不得存在以采代建现象，新建项目______采取安全设施设计以外的探矿、采矿工程。</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A．不得</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B．必须</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C．建议</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D．应当</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27.《地下非煤矿山复产验收细则（试行）》《地下非煤矿山建设项目复工验收细则（试行）》规定，所有生产作业人员，每年接受在职安全教育、培训的时间不少于______小时，并经考试合格。</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A．18</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B．20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C．24</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D．36</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28.《地下非煤矿山复产验收细则（试行）》《地下非煤矿山建设项目复工验收细则（试行）》规定，单体工程验收后的提升等设备应认真执行______制度。</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A．班检</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B．日检</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C．周检</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D．月检</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29.《关于扎实推进非煤矿山双重预防体系建设的通知》要求，企业应______至少一次对危险源辨识及风险评价、岗位风险管控和排查的有效性进行全面系统评审。</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A．每月</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B．每季</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C．每半年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D．每年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30.《关于扎实推进非煤矿山双重预防体系建设的通知》要求，隐患治理完毕后，由______组织验收、评估、闭环管理。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A．主要负责人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B．安全总监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C．隐患提出人所在的部门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D．隐患提出人所在部门的主要负责人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31.《关于扎实推进非煤矿山双重预防体系建设的通知》要求，企业应持续保持双重预防体系，确保其具有持续的______。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A．适宜性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B．实用性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C．充分性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D．有效性</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32.以下不属于工贸行业领域安全生产专项整治三年行动2021年集中攻坚重点整治企业的是：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A.钢铁联合企业</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B.有色金属冶炼企业</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C.铝镁粉尘企业</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D.交通运输企业</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33.《加强水上运输和渔业船舶安全风险防控工作实施方案（2021-2022年）》要求，加强水上运输和渔业船舶安全风险防控工作实施方案中规定联合开展安全警示教育活动，推广____交流活动等经验做法。</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A.商船船长面对面</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B.渔船船长面对面</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C.商渔船长面对面</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34.《关于进一步加强海上安全若干措施》要求，渤海湾客滚船实行“逢____不开”，对其他船舶严格按照核定抗风等级或当地禁航规定最严要求执行，严禁冒险开航。</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A.五级风</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B.六级风</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C.七级风</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D.八级风</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35.《关于进一步加强海上安全若干措施》要求，对船长____米以下或____总吨以下中小型货船实行“逢八不开”。</w:t>
      </w:r>
    </w:p>
    <w:p>
      <w:pPr>
        <w:keepNext w:val="0"/>
        <w:keepLines w:val="0"/>
        <w:pageBreakBefore w:val="0"/>
        <w:widowControl w:val="0"/>
        <w:kinsoku/>
        <w:wordWrap/>
        <w:overflowPunct/>
        <w:topLinePunct w:val="0"/>
        <w:autoSpaceDE/>
        <w:autoSpaceDN/>
        <w:bidi w:val="0"/>
        <w:adjustRightInd/>
        <w:snapToGrid/>
        <w:spacing w:line="500" w:lineRule="exact"/>
        <w:ind w:left="320" w:hanging="280" w:hangingChars="100"/>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A.100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3000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B.150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3000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C.200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3000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D.100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4000</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36.《关于进一步加强海上安全若干措施》要求，升级现有渔船渔港动态监控系统，开发新型海洋与渔业综合管控平台，形成以____监控平台为依托的统一监控机制，实行全省海洋渔船监控“一张网”。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A.镇级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B.县级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C.市级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D.省级</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37.《全省安全生产大排查大整治方案》要求，风险隐患双重预防体系是指____。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A.风险分级管控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B.隐患排查治理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C.设备设施隐患</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D.生产工艺风险</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38.《全省安全生产大排查大整治方案》要求，“两重点一重大”是指____。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A.重点监管的危险化工工艺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B.重点监管的危险化学品</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C.重大危险源</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39.《关于“四位一体”深入推进安全生产专项整治三年行动的意见》中的“四位一体”是指____。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A.安全生产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B.作风建设</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C.惩治腐败</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D.扫黑除恶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40.按照《加强水上运输和渔业船舶安全风险防控工作实施方案（2021-2022年）》，下列哪些属于商渔船航行停</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泊作业安全监管违法违规行为____。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A.配员不满足要求</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B.伪造、拆卸船舶标识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C.擅自关闭、屏蔽安全通信导航</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D.擅自关闭、屏蔽船位检测终端设备</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41.按照《加强水上运输和渔业船舶安全风险防控工作实施方案（2021-2022年）》，“三无”船舶是指____。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A.无船名船号</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B.无船舶证书</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C.无船籍港的船舶</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D.无救生消防设备</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42.《全省安全生产大排查大整治方案》中的“三违”行为是指____。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A.违章指挥</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B.违章操作</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C.违反劳动纪律</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D.违反安全生产管理制度</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43.《全省安全生产大排查大整治方案》中的安全生产“三超”行为是指____。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A.超能力</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B.超强度</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C.证照超期</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D.超定员组织生产的</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44.《全省安全生产大排查大整治方案》中的“两客一危”车辆是指____。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A.从事旅游的包车</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B.三类以上班线客车</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C.运输危化品、烟花爆竹、民用爆炸物品的道路专用车辆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D.违法载人的三轮车辆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45.《关于进一步加强海上安全若干措施》要求，严肃事故调查和责任追究中安全事故“四不放过”是指____。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A.事故原因未查清不放过</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B.责任人员未处理不放过</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C.有关人员未受到教育不放过</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D.整改措施未落实不放过</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46.《关于加强涉农车辆交通安全防范工作的意见》中涉农车辆主要是指____。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A.与农业生产、农民生活有关的三轮汽车</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B.面包车</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C.低速载货汽车</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D.轻型载货汽车</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47.《关于加强涉农车辆交通安全防范工作的意见》中“两站两员”是指____。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A.乡镇交管站B.农村劝导站C.乡镇交通安全员D.农村劝导员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48.《企业安全生产大诊断行动实施方案》中重大隐患整改“五落实”是指____。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A.落实隐患排查治理责任</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B.落实隐患排查治理措施</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C.落实隐患排查治理资金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D.落实隐患排查治理时限</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E.落实隐患排查治理预案</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答案：ABCDE</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49.年我省开始积极推行安全总监制度。</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A.2019年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B.2020年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C.2021年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D.2022年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50.《山东省生产经营单位安全总监制度实施办法（试行）》规定，生产经营单位的是本单位安全生产工作的第一责任人。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A.部门负责人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B.分管负责人</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C.安全总监</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D.主要负责人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51.《山东省生产经营单位安全总监制度实施办法（试行）》规定，安全总监必须取得工程师及以上职称或注册安全工程师资格，且在本行业领域内从事安全生产管理工作满年。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A.2年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B.3年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C.4年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D.5年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52.《山东省生产经营单位安全总监制度实施办法（试行）》规定，安全总监的安全生产工作报告分为</w:t>
      </w:r>
      <w:r>
        <w:rPr>
          <w:rFonts w:hint="default" w:ascii="Times New Roman" w:hAnsi="Times New Roman"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rPr>
        <w:t>、</w:t>
      </w:r>
      <w:r>
        <w:rPr>
          <w:rFonts w:hint="default" w:ascii="Times New Roman" w:hAnsi="Times New Roman"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rPr>
        <w:t>和</w:t>
      </w:r>
      <w:r>
        <w:rPr>
          <w:rFonts w:hint="default" w:ascii="Times New Roman" w:hAnsi="Times New Roman"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A.年度报告B.事故情况报告C.专项报告D.重大事项报告</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53.《山东省生产经营单位安全总监制度实施办法（试行）》规定，有下列哪些情形的，应当免去安全总监职务。</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A.对重大生产安全事故隐患督促整改不力，导致发生生产安全伤亡事故的。</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B.对执法检查责令整改而未督促整改，造成严重后果的。</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C.有关部门在执法检查中对起安全生产知识和管理能力进行抽查考核不合格，经限期整改考核仍不合格的。</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D.因安全生产工作落实不到位，被负有安全生产监督管理职责的部门建议免除安全总监职务的。</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54.高危生产经营单位以外的，从业人员达到</w:t>
      </w:r>
      <w:r>
        <w:rPr>
          <w:rFonts w:hint="default" w:ascii="Times New Roman" w:hAnsi="Times New Roman"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rPr>
        <w:t>人（含）以上的其他生产经营单位应当设置安全总监。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A.100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B.200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C.300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D.500</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55.《山东省生产经营单位安全总监制度实施办法（试行）》规定，国有和国有控股企业集团分公司、子公司安全总监由委派，具体委派管理办法由集团公司结合自身实际制定。</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A.集团公司</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B.当地负有安全生产监督管理责任的部门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C.当地政府</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D.应急管理部门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56.《山东省生产经营单位安全总监制度实施办法（试行）》规定，非国有和国有控股企业安全总监有提出人选，报经同意，并经安全生产知识和管理能力考核合格后，办理任职手续，并报备案。</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A.企业</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B.负有安全生产监督管理职责的部门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C.同级人民政府安全生产委员会办公室</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D.应急管理部门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57.《山东省生产经营单位安全总监制度实施办法（试行）》规定，安全总监的行政关系和薪酬由管理。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A.负有安全生产监督管理职责的部门</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B.应急管理部门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C.安全生产委员会办公室</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D.受委派企业</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58.《关于开展安全生产驻点监管工作的通知》要求，驻点监管时间暂定为年。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B.2年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C.3年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D.4年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59.《山东省生产经营单位安全总监制度实施办法（试行）》规定，下列（）单位依法应当设置安全总监。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A.矿山</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B.粉尘涉爆</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C.渔业</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D.运输</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60.《山东省生产经营单位安全总监制度实施办法（试行）》规定，安全总监应当具备下列基本条件：（）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A.取得工程师及以上职称或注册安全工程师资格，且在本行业领域内从事安全管理工作满2年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B.热爱安全生产工作，坚持原则，品德端正，身体健康，工作勤恳，具有强烈的安全意识和工作责任心</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C.掌握安全生产法律法规规章和标准规范，熟悉本行业领域的安全管理制度、工艺流程、操作规程</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D.熟悉安全管理体系，掌握本单位的安全风险和重大危险源</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二、判断题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61.《关于全面加强危险化学品安全生产工作的实施意见》要求，每个化工园区要建设至少2处符合标准的危险化学品运输车辆专用停车场。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62.《关于全面加强危险化学品安全生产工作的实施意见》要求，健全安全风险研判与承诺公告制度，危险化学品企业每日至少进行1次安全风险研判，主要负责人（法定代表人）作出安全承诺，并在工厂主门外公告，接受社会监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63.《关于全面加强危险化学品安全生产工作的实施意见》要求，2022年年底前，危险化学品生产企业主要负责人、分管安全生产负责人必须具有化工类专业大专及以上学历和一定实践经验，专职安全管理人员至少具备中级及以上化工专业技术职称或化工安全类注册安全工程师资格。</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64.《深化非煤矿山安全生产专项整治实施方案》要求，2022年底所有矿山全部达到三级以上安全标准化，新建矿山应当在取得安全生产许可证之日起一年内实现二级生产标准化达标。</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65.《深化非煤矿山安全生产专项整治实施方案》要求，新从事井下工作和转岗人员，应有2年以上的老工人带领实习满3个月，经考核合格后方可独立上岗作业。</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66.《山东省落实地下非煤矿山企业安全生产主体责任的若干规定》要求，安全生产许可证延期申请之前3个月内经考评合格达到二级以上安全标准化等级的，可以不提交安全现状评价报告。</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67.《山东省落实地下非煤矿山企业安全生产主体责任的若干规定》要求，要严格执行“逢大暴雨天气停产撤人”和“矿山调度员十项应急处置权和5分钟通知到井下所有人员”的规定</w:t>
      </w:r>
      <w:r>
        <w:rPr>
          <w:rFonts w:hint="default" w:ascii="Times New Roman" w:hAnsi="Times New Roman" w:eastAsia="仿宋_GB2312" w:cs="Times New Roman"/>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68.《山东省深井非煤矿山安全风险管控若干规定》要求，深井矿山每半年对管理人员开展一次以地压、高温、突水等灾害防治为主要内容的专项培训。</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69.《山东省深井非煤矿山安全风险管控若干规定》要求，作为主要安全出口的新建罐笼提升井，应装备2套相互独立的提升系统</w:t>
      </w:r>
      <w:r>
        <w:rPr>
          <w:rFonts w:hint="default" w:ascii="Times New Roman" w:hAnsi="Times New Roman" w:eastAsia="仿宋_GB2312" w:cs="Times New Roman"/>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70.闭库后的尾矿库防洪能力和尾矿坝稳定性仍满足安全、环保、水土保持要求，基础设施完整存在并发挥作用的，可不再纳入尾矿库管理。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71.对库容小于30万立方米且总坝高低于10米的小型尾矿库，可采用简易程序进行闭库。</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72.《国家矿山安监局矿山安全生产专项整治督导调研发现问题整改工作方案》要求，2022年底前，矿山全部取消采掘工程外包队伍且自建产业队伍或成立具备相应资质的采掘工程公司。</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73.《国家矿山安监局矿山安全生产专项整治督导调研发现问题整改工作方案》要求，五到位是指：安全责任到位、安全管理到位、安全投入到位、安全培训到位、应急预案到位。</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74.《关于加强非煤矿山外包队伍资质许可和施工管理的意见》要求，除爆破承包单位外，大中型矿山承包单位不得超过1家，小型矿山承包单位不得超过2家。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75.关于加强非煤矿山外包队伍资质许可和施工管理的意见》要求，项目部、未设项目部的承包单位主要负责人应当每周对作业现场至少进行一次全面安全生产检查。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76.《地下非煤矿山复产验收细则（试行）》《地下非煤矿山建设项目复工验收细则（试行）》规定，安全设施设计有重大变更的应经原批准单位审查同意。</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77.《地下非煤矿山复产验收细则（试行）》《地下非煤矿山建设项目复工验收细则（试行）》规定，竖井、斜井、斜坡道等施工到底后，应集中在一个中段贯通，贯通前，竖井内应同时安装刚性井筒装备。</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78.《关于扎实推进非煤矿山双重预防体系建设的通知》要求，隐患排查周期包括每班一次、每周一次、每月一次、每季度一次等。</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79.《关于扎实推进非煤矿山双重预防体系建设的通知》要求，隐患排查的核心内容是岗位风险管控措施。</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80.开展工贸行业领域安全生产专项整治三年行动2021年集中攻坚的目的是持续巩固大排查大整治成果，防范化解重大风险，遏制较大以上生产安全事故发生。</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81.《关于印发&lt;全省工贸行业安全专项整治三年行动2021年集中攻坚工作方案&gt;的通知》要求，金属冶炼、渉爆粉尘等行业企业不需要落实安全总监制度。</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82.《关于进一步加强海上安全若干措施》要求，交通运输部门要依法严格船员适任培训，未达到规定课时要求的，一律不予发证。</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83.《关于加强涉农车辆交通安全防范工作的意见》中“一盔一带”是指安全头盔和安全带。</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84.《“四位一体”深入推进安全生产专项整治三年行动工作方案》要求，根据本地区化工和危险化学品企业数量、规模等情况，配齐配强满足实际需要的危险化学品安全监管和执法力量，具有化工安全生产相关专业背景和实践经验的执法人员数量须达到在职人员75%以上。</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85.《“四位一体”深入推进安全生产专项整治三年行动工作方案》要求，危化品领域新入职涉及重大危险源、重点监管化工工艺生产装置、储存设施操作人员必须具有高中及以上学历或化工类中等及以上职业教育水平。</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86.《“四位一体”深入推进安全生产专项整治三年行动工作方案》要求，危化品领域新入职涉及爆炸危险性化学品生产装置和储存设施操作人员必须具有化工类中等及以上职业教育水平。</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87.《关于进一步加强海上安全若干措施》规定，渔业船舶一级包保责任人，按照每6艘渔船不少于1人的标准，落实一级包保责任。</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88.《关于进一步加强海上安全若干措施》规定，对商船、客（滚）船按职责实行包保责任制管理，每艘船落实1名包保责任人。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89.《关于进一步加强海上安全若干措施》规定，农业农村（渔业）部门要严把水路运输市场准入关，认真审核航运公司经营资质及船舶登记、检验、安全管理等证书，对不符合要求的，坚决不予配发《船舶营业运输证》。</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90.《全省海上安全集中整治行动方案》中，集中整治挂靠行为规定，对我省范围内渔船实际所有人户籍地与渔船登记地不一致的异地挂靠渔船，户籍地渔业行政主管部门要协调转回渔船实际所有人户籍地进行登记管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91.《关于开展道路交通安全专项整治工作的通知》中农村公路平交路口“千灯万带”示范工程的“灯”和“带”分别是指安全警示爆闪灯和减速带。</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92.《关于开展道路交通安全专项整治工作的通知》中农村公路平交路口“一灯一带”建设是指在交通流量大、交通事故多的路口增设信号灯，在农村支路驶入干道路口增设减速带。</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93.《加强水上运输和渔业船舶安全风险防控工作实施方案（2021-2022年）》要求，为加强渔业船舶安全源头管理，督促坚持客船和危险品船新增运力“先建造、后审批”，严格《船舶营业运输证》配发管理。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94.《“四位一体”深入推进安全生产专项整治三年行动工作方案》要求，安全生产应从动态感知向静态分析、事后应急向事前预防、全局联防向单点防控转变，提高风险防控和隐患治理效能。</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95.《山东省生产经营单位安全总监制度实施办法（试行）》规定，安全总监应当依法经负有安全生产监督管理职责的部门对其安全生产知识和管理能力的考核。</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96.《山东省生产经营单位安全总监制度实施办法（试行）》规定，国有和国有控股企业安全总监实行委派制，安全总监只接受企业的领导。</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97.《山东省生产经营单位安全总监制度实施办法（试行）》规定，生产经营单位安全总监的待遇应当与本单位同级同职其他岗位管理人员的待遇相同，同时享受安全生产管理岗位风险津贴。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98.《山东省生产经营单位安全总监制度实施办法（试行）》规定，安全总监无须接受负有安全生产监督管理职责部门定期开展的形势政策教育和业务知识培训，提升安全管理能力。</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99.《山东省生产经营单位安全总监制度实施办法（试行）》规定，安全总监是本单位安全生产工作的第一责任人，全面负责安全生产工作。</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100.《山东省生产经营单位安全总监制度实施办法（试行）》规定，安全总监应当依法经应急管理部门对其安全生产知识和管理能力的考核。</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101.《山东省生产经营单位安全总监制度实施办法（试行）》规定，国有和国有控股企业安全总监实行委派制，安全总监应当接受企业和负有安全生产监督管理职责部门的双重领导。</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五、抓严惩重罚</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一、选择题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1.《关于进一步加强安全生产领域严重失信行为联合惩戒工作的通知》要求，安全生产领域被处以责令停产停业、责令关闭或吊销许可证的行政处罚信息，公示期限为___，公示期间不予修复。</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B.2年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C.3年</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D.4年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二、判断题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2.《关于建立非煤矿山联合执法机制的意见》要求，联合执法发现的违规违法行为，应按照各部门监管职责分别依法处理。</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六、抓本质安全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一、选择题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1.《关于做好全省非煤地下矿山智能化建设的指导意见》要求，推进“三化”进程，力争到十四五末，大型非煤地下矿山井下作业人员下降______%。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A.25</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B.30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C.40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D.50</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2.《关于做好全省非煤地下矿山智能化建设的指导意见》要求，主通讯线缆从不同的路由进入井下形成双回路，主要通讯设备后备电源能够保证系统连续工作______小时以上。</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A.2</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B.6</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C.12</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D.24</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3.《关于做好全省非煤地下矿山智能化建设的指导意见》要求，在固定设施方面，主通风机应配备______等传感装置，实现地表在线监测、远程自动控制。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A.风压、风量</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B.电流、电压</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C.轴承温度</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D.环境湿球温度</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二、判断题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4.《关于做好全省非煤地下矿山智能化建设的指导意见》要求，要树立从事后分析变成事前预防、从被动应对变成主动防控、从单一要素变为精细协同的安全管理智慧化目标。</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5.《关于做好全省非煤地下矿山智能化建设的指导意见》要求，智能化建设要充分考虑到矿山实际、赋存条件、生命周期阶段、工艺水平等多方面因素。</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七、抓应急处置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一、选择题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1.《关于切实加强生产经营单位单位应急预案和应急演练工作的通知》要求，应急预案和应急演练工作是___、减少事故损失的重要抓手和关键环节。</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A.控制风险隐患</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B.排查风险隐患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C.防控安全风险</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D.控制安全风险</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2.《关于切实加强生产经营单位单位应急预案和应急演练工作的通知》要求，各行业领域生产经营单位要严格按照法律、法规及有关文件要求，加强应急预案编制、修订、____、备案等工作。</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A.评估</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B.审定</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C.审查</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D.评审</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3.《关于切实加强生产经营单位单位应急预案和应急演练工作的通知》要求，应急演练是做好各项应急准备的基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础性工作，对___具有显著意义。</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A.</w:t>
      </w:r>
      <w:r>
        <w:rPr>
          <w:rFonts w:hint="default" w:ascii="Times New Roman" w:hAnsi="Times New Roman" w:eastAsia="仿宋_GB2312" w:cs="Times New Roman"/>
          <w:sz w:val="28"/>
          <w:szCs w:val="28"/>
        </w:rPr>
        <w:t>有效防范事故</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B.提高应急行动效率</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C.降低事故损失和危害</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D.提升应急能力</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八、抓社会共治</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一、选择题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山东省安全生产举报奖励办法》规定，为切实强化安全生产工作的社会监督，充分调动社会各界和广大人民群众参与安全生产工作的积极性，及时发现并排除事故隐患，制止和惩处非法违法行为，省应急厅联合（）个部门，制定了《山东省安全生产举报奖励办法》。</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A.3</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B.5</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C.7</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D.8</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2.《山东省安全生产举报奖励办法》规定，生产经营单位从业人员（包括其配偶、父母、子女）举报其所在单位的事故隐患和非法违法行为，经核查属实的，奖励金额上浮（），最高不超过50万元。</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B.15%</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C.20%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D.30%</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3.《山东省安全生产举报奖励办法》规定，对未列明奖励情形的举报，一般事故隐患奖励500元至5000元;重大事故隐患和非法违法行为按照行政处罚金额的（）计算，最低奖励（）元，最高不超过50万元。</w:t>
      </w:r>
    </w:p>
    <w:p>
      <w:pPr>
        <w:keepNext w:val="0"/>
        <w:keepLines w:val="0"/>
        <w:pageBreakBefore w:val="0"/>
        <w:widowControl w:val="0"/>
        <w:kinsoku/>
        <w:wordWrap/>
        <w:overflowPunct/>
        <w:topLinePunct w:val="0"/>
        <w:autoSpaceDE/>
        <w:autoSpaceDN/>
        <w:bidi w:val="0"/>
        <w:adjustRightInd/>
        <w:snapToGrid/>
        <w:spacing w:line="500" w:lineRule="exact"/>
        <w:ind w:left="320" w:hanging="280" w:hangingChars="100"/>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A.30%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2000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B.30%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5000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C.50%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2000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D.50%</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5000</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4.《山东省安全生产举报奖励办法》规定，举报奖励按照（）的原则，受理部门应于举报事项核查处理结束后15个工作日内，对举报事实、奖励条件和奖励金额予以认定，提出奖励意见。</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A.谁受理、谁奖励</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B.谁核查、谁奖励</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C.谁接报、谁奖励</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D.谁处置、谁奖励</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5.《山东省安全生产举报奖励办法》规定，下列哪类举报事项，经查实给予举报人50万元奖励。</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A.涉及“两重点一重大”生产装置、储存设施未按规定装备可燃气体或有毒气体泄漏检测报警装置、紧急切断装置、自动化控制系统、安全仪表系统或未正常投入使用。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B.尾矿库坝体出现贯穿性横向裂缝，且出现较大范围管涌、流土变形，坝体出现深层滑动迹象，企业未及时治理。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C.炉、窑、槽、罐类设备本体及附属设施未定期检查，出现严重焊缝开裂、腐蚀、破损、衬砖损坏、壳体发红及明显弯曲变形等未报修或报废，仍继续使用。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D.木制品加工企业，与砂光机连接的风管未规范设置火花探测报警装置。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6.《山东省安全生产举报奖励办法》规定，对举报瞒报、谎报事故经查实的，视事故大小、情节严重程度，分别给予举报人3-50万元的奖励。对举报瞒报、谎报事故的，按照最终确认的（）和（）给予奖励。</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A.事故等级瞒报谎报死亡人数</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B.事故等级死亡人数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C.死亡人数重伤人数</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D.事故等级死亡人数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7.《山东省安全生产举报奖励办法》规定，举报人可以通过（）等多种方式进行举报，举报内容应包括明确的被举报对象、具体的事故隐患和非法违法行为。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A.“12345”政务服务便民热线电话</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B.部门网站</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C.“爱山东”APP移动客户端</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D.书信、来访</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二、判断题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8.《山东省安全生产举报奖励办法》针对22个重点行业领域可能存在的重大事故隐患和非法违法行为，具体规定了295项举报奖励情形，让群众知道“举报什么”、“向谁举报”、“奖励多少”。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山东省安全生产举报奖励办法》规定，举报人应当提供真实有效的联系方式，鼓励实名举报，以备核查过程中了解举报线索、反馈结果和发放奖励。举报内容应包括明确的被举报对象、具体的事故隐患和非法违法行为。</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10.《山东省安全生产举报奖励办法》规定，对不属于本部门职责范围的举报事项，接到举报的部门应告知举报人向有权处理部门举报，或者将举报材料移送有权处理部门调查处理，并采取适当方式告知举报人，无法取得联系的除外。</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11.《山东省安全生产举报奖励办法》规定，各级有关部门负有安全生产管理、监管等职责的工作人员的举报以及执法检查中聘请的专家提起的举报可进行举报领取奖励。</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12.《山东省安全生产举报奖励办法》规定，同一举报事项，不重复奖励。多人多次举报同一事项的，经核查，给予第一个做出有效举报的实名举报人一次性奖励。多人联名举报同一事项的，由第一署名人持本人有效证件及其他联名举报人的有效委托文书和有效证件领取奖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13.《关于鼓励生产经营单位从业人员进行安全生产举报的通知》要求，在危险化学品、非煤矿山、烟花爆竹、金属冶炼、涉爆粉尘等重点行业、领域生产经营单位应设立安全生产举报信箱，定期开箱收取举报信件，并可在从业人员中选取信息员，建立专门联络机制，及时获取生产经营单位重大事故隐患、安全生产非法违法行为线索。</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九、防汛防台风</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一、选择题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关于进一步加强防汛防台风工作的意见》指出，推进重点防洪保护区、重要河段防洪标准达标建设，加快实施中小河流治理、病险水库水闸除险加固、蓄滞洪区建设、山洪灾害防治和重点平原洼地治理等工程，构建以___和蓄滞洪区为架构的防洪工程体系。</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A.河道</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B.水库</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C.堤防</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D.湖泊</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关于进一步加强防汛防台风工作的意见》指出，推动自然灾害防范应对融入应急管理、基层网格治理工作体系，建立极端天气灾害___机制，制定基于重大自然灾害预警信息的停工、停业、停学、停运、停课、停产方案，提升极端天气安全风险防范能力。</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A.暂停机制</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B.熔断机制</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C.停止机制</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D.果断机制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二、判断题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3.《关于持续做好当前黄河秋汛洪水防御工作的通知》要求，巡堤巡坝查险要24小时加密巡查、轮班值守，并加强监督检查，做到险情早发现、早抢护、早处置，确保防洪工程安全</w:t>
      </w:r>
      <w:r>
        <w:rPr>
          <w:rFonts w:hint="default" w:ascii="Times New Roman" w:hAnsi="Times New Roman" w:eastAsia="仿宋_GB2312" w:cs="Times New Roman"/>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十、森林防火</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一、选择题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1.《山东省森林草原防火紧要时期联合值班值守工作规范》指出，山东省森林草原防火紧要时期是___。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A.10月1日至次年5月31日</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B.11月1日至次年5月31日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C.1月1日至5月31日</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D.3月1日至5月31日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答案：B</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2.《全省野外火源治理和查处违规用火行为专项行动工作方案》指出，查处违规用火行为专项行动的重点是___。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A.违规农事用火</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B.违规祭祀用火</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C.其他违规生产性用火</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D.其他违规非生产性用火</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E.其他专项行动内容</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答案：ABCDE</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二、判断题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w:t>
      </w:r>
      <w:r>
        <w:rPr>
          <w:rFonts w:hint="default" w:ascii="Times New Roman" w:hAnsi="Times New Roman" w:eastAsia="仿宋_GB2312" w:cs="Times New Roman"/>
          <w:sz w:val="28"/>
          <w:szCs w:val="28"/>
          <w:lang w:val="en-US" w:eastAsia="zh-CN"/>
        </w:rPr>
        <w:t>.</w:t>
      </w:r>
      <w:r>
        <w:rPr>
          <w:rFonts w:hint="default" w:ascii="Times New Roman" w:hAnsi="Times New Roman" w:eastAsia="仿宋_GB2312" w:cs="Times New Roman"/>
          <w:sz w:val="28"/>
          <w:szCs w:val="28"/>
        </w:rPr>
        <w:t>《关于切实做好“清明”“五一”期间森林草原防灭火工作的通知》要求，各级森林草原经营单位要按照“谁经营、谁负责”的原则，认真落实好主体责任。</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4.</w:t>
      </w:r>
      <w:r>
        <w:rPr>
          <w:rFonts w:hint="default" w:ascii="Times New Roman" w:hAnsi="Times New Roman" w:eastAsia="仿宋_GB2312" w:cs="Times New Roman"/>
          <w:sz w:val="28"/>
          <w:szCs w:val="28"/>
        </w:rPr>
        <w:t>《关于深入落实习近平总书记视察塞罕坝机械林场时的重要指示精神切实加强全省旅游景区森林草原防灭火工作的通知》要求，各旅游景区要建立健全森林草原防灭火责任制,划定责任区,确定责任人,将各项经营单位主体责任落到实处,织密扎牢火灾防控网络,坚决筑牢安全屏障。</w:t>
      </w:r>
      <w:r>
        <w:rPr>
          <w:rFonts w:hint="default" w:ascii="Times New Roman" w:hAnsi="Times New Roman" w:eastAsia="仿宋_GB2312" w:cs="Times New Roman"/>
          <w:sz w:val="28"/>
          <w:szCs w:val="28"/>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答案：正确</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十一、应急救援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一、选择题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1.《山东省突发事件总体应急预案》要求，突发事件分为____、____、_____、_____四类。</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A.自然灾害</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B.事故灾难</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C.公共卫生事件</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D.社会安全事件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2.《山东省专业应急救援队伍建设管理办法》规定，专业应急救援队伍的建设原则有____。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A.政府主导、社会参与</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B.分类推进、分级负责</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C.专常兼备、保障有力</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D.专业化和社会化结合</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3.《省级社会救援力量培育规范》指出，我省社会救援力量培育发展的基本原则是_____。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A.立足实际、统筹发展</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B.统一调度、合理布局</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C.协调推进、完善机制</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D.积极引导、规范管理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4.《省级社会救援力量培育规范》指出，我省社会救援力量培育发展的政策措施有_____。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A.统筹规划、合理布局</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B.注重指导、强化保障</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C.规范行为、强化技能</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D.加大宣传、营造氛围</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E.严格奖惩、促进发展</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答案：ABCDE</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二、判断题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w:t>
      </w:r>
      <w:r>
        <w:rPr>
          <w:rFonts w:hint="default" w:ascii="Times New Roman" w:hAnsi="Times New Roman" w:eastAsia="仿宋_GB2312" w:cs="Times New Roman"/>
          <w:sz w:val="28"/>
          <w:szCs w:val="28"/>
          <w:lang w:val="en-US" w:eastAsia="zh-CN"/>
        </w:rPr>
        <w:t>.</w:t>
      </w:r>
      <w:r>
        <w:rPr>
          <w:rFonts w:hint="default" w:ascii="Times New Roman" w:hAnsi="Times New Roman" w:eastAsia="仿宋_GB2312" w:cs="Times New Roman"/>
          <w:sz w:val="28"/>
          <w:szCs w:val="28"/>
        </w:rPr>
        <w:t>《省级社会救援力量培育规范》指出，坚持党建引领，强化社会救援力量党建工作。坚持政府扶持与市场机制协同发展理念，在应急管理部门统一指挥和有关部门统筹协调下有序开展工作。</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答案：错误</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28"/>
          <w:szCs w:val="28"/>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十二、极端天气防范应对</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黑体" w:cs="Times New Roman"/>
          <w:sz w:val="28"/>
          <w:szCs w:val="28"/>
        </w:rPr>
      </w:pPr>
      <w:r>
        <w:rPr>
          <w:rFonts w:hint="default" w:ascii="Times New Roman" w:hAnsi="Times New Roman" w:eastAsia="黑体" w:cs="Times New Roman"/>
          <w:sz w:val="28"/>
          <w:szCs w:val="28"/>
        </w:rPr>
        <w:t>一、选择题</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1.《关于严格大风强降雨天气安全防范工作的紧急通知》要求，雷雨大风预警信号依据气象灾害可能造成的危害</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程度、紧急程度和发展态势一般划分为____级。</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A.四级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B.三级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C.二级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D.一级</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2.《关于严格大风强降雨天气安全防范工作的紧急通知》要求，雷雨大风预警信号依据气象灾害可能造成的危害程度、紧急程度和发展态势一般用颜色分别表示为____。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A.蓝色、黄色、橙色、红色</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B.蓝色、绿色、紫色、红色</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C.绿色、橙色、紫色、红色</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D.绿色、蓝色、橙色、红色</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3.《关于做好寒潮天气防范应对工作的紧急通知》要求，发布灾害预报的媒体渠道包括____。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A.广播、电视</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B.微信、短信</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C.网络</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D.公共场所电子显示屏</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4.《2008年低温雨雪冰冻灾害复盘情况报告》指出，可能导致大面积停电的严重自然灾害包括____。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A.雨雪冰冻</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B.暴雨洪涝</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C.强对流天气</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D.地震</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5.《关于严格大风强降雨天气安全防范工作的紧急通知》要求，雷雨大风预警信号级别依据气象灾害可能造成的危害程度、紧急程度和发展态势分别对应正确的是____。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A.蓝色对应Ⅳ级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B.黄色对应Ⅲ级</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C.橙色对应Ⅲ级</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D.红色对应Ⅰ级</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答案：ABD</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6.《关于做好寒潮天气防范应对工作的通知》要求，关于做好寒潮天气防范应对工作的通知中危险化学品企业冬</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季安全“四防”是指____。</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A.防冻防凝</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B.防中毒</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C.防火</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D.防滑</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答案：ABCD</w:t>
      </w: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ascii="Times New Roman" w:hAnsi="Times New Roman" w:eastAsia="仿宋_GB2312"/>
          <w:sz w:val="32"/>
        </w:rPr>
      </w:pPr>
    </w:p>
    <w:p>
      <w:pPr>
        <w:pStyle w:val="14"/>
        <w:rPr>
          <w:rFonts w:hint="eastAsia" w:ascii="Times New Roman" w:hAnsi="Times New Roman" w:eastAsia="仿宋_GB2312"/>
          <w:sz w:val="32"/>
          <w:lang w:val="en-US" w:eastAsia="zh-CN"/>
        </w:rPr>
      </w:pPr>
      <w:r>
        <w:rPr>
          <w:rFonts w:ascii="Times New Roman" w:hAnsi="Times New Roman" w:eastAsia="仿宋_GB2312"/>
          <w:sz w:val="32"/>
        </w:rPr>
        <w:t>附件</w:t>
      </w:r>
      <w:r>
        <w:rPr>
          <w:rFonts w:hint="eastAsia" w:ascii="Times New Roman" w:hAnsi="Times New Roman" w:eastAsia="仿宋_GB2312"/>
          <w:sz w:val="32"/>
          <w:lang w:val="en-US" w:eastAsia="zh-CN"/>
        </w:rPr>
        <w:t>2</w:t>
      </w:r>
    </w:p>
    <w:p>
      <w:pPr>
        <w:widowControl/>
        <w:jc w:val="center"/>
        <w:textAlignment w:val="center"/>
        <w:rPr>
          <w:rFonts w:ascii="Times New Roman" w:hAnsi="Times New Roman" w:eastAsia="方正小标宋简体" w:cs="Times New Roman"/>
          <w:color w:val="000000"/>
          <w:sz w:val="44"/>
          <w:szCs w:val="44"/>
        </w:rPr>
      </w:pPr>
      <w:r>
        <w:rPr>
          <w:rFonts w:ascii="Times New Roman" w:hAnsi="Times New Roman" w:eastAsia="方正小标宋简体" w:cs="Times New Roman"/>
          <w:color w:val="000000"/>
          <w:sz w:val="44"/>
          <w:szCs w:val="44"/>
        </w:rPr>
        <w:t>威海市安全生产考试点</w:t>
      </w:r>
    </w:p>
    <w:tbl>
      <w:tblPr>
        <w:tblStyle w:val="9"/>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753"/>
        <w:gridCol w:w="4616"/>
        <w:gridCol w:w="1036"/>
        <w:gridCol w:w="1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99" w:type="dxa"/>
            <w:vAlign w:val="center"/>
          </w:tcPr>
          <w:p>
            <w:pPr>
              <w:widowControl/>
              <w:jc w:val="center"/>
              <w:textAlignment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序号</w:t>
            </w:r>
          </w:p>
        </w:tc>
        <w:tc>
          <w:tcPr>
            <w:tcW w:w="753" w:type="dxa"/>
            <w:vAlign w:val="center"/>
          </w:tcPr>
          <w:p>
            <w:pPr>
              <w:widowControl/>
              <w:jc w:val="center"/>
              <w:textAlignment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区市</w:t>
            </w:r>
          </w:p>
        </w:tc>
        <w:tc>
          <w:tcPr>
            <w:tcW w:w="4616" w:type="dxa"/>
            <w:vAlign w:val="center"/>
          </w:tcPr>
          <w:p>
            <w:pPr>
              <w:widowControl/>
              <w:jc w:val="center"/>
              <w:textAlignment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考试点名称</w:t>
            </w:r>
          </w:p>
        </w:tc>
        <w:tc>
          <w:tcPr>
            <w:tcW w:w="1036" w:type="dxa"/>
            <w:vAlign w:val="center"/>
          </w:tcPr>
          <w:p>
            <w:pPr>
              <w:widowControl/>
              <w:jc w:val="center"/>
              <w:textAlignment w:val="center"/>
              <w:rPr>
                <w:rFonts w:ascii="Times New Roman" w:hAnsi="Times New Roman" w:eastAsia="黑体" w:cs="Times New Roman"/>
                <w:color w:val="000000"/>
                <w:sz w:val="24"/>
                <w:szCs w:val="24"/>
              </w:rPr>
            </w:pPr>
            <w:r>
              <w:rPr>
                <w:rFonts w:hint="eastAsia" w:ascii="Times New Roman" w:hAnsi="Times New Roman" w:eastAsia="黑体" w:cs="Times New Roman"/>
                <w:color w:val="000000"/>
                <w:sz w:val="24"/>
                <w:szCs w:val="24"/>
              </w:rPr>
              <w:t>联系人</w:t>
            </w:r>
          </w:p>
        </w:tc>
        <w:tc>
          <w:tcPr>
            <w:tcW w:w="1730" w:type="dxa"/>
            <w:vAlign w:val="center"/>
          </w:tcPr>
          <w:p>
            <w:pPr>
              <w:widowControl/>
              <w:jc w:val="center"/>
              <w:textAlignment w:val="center"/>
              <w:rPr>
                <w:rFonts w:ascii="Times New Roman" w:hAnsi="Times New Roman" w:eastAsia="黑体" w:cs="Times New Roman"/>
                <w:color w:val="000000"/>
                <w:sz w:val="24"/>
                <w:szCs w:val="24"/>
              </w:rPr>
            </w:pPr>
            <w:r>
              <w:rPr>
                <w:rFonts w:hint="eastAsia" w:ascii="Times New Roman" w:hAnsi="Times New Roman" w:eastAsia="黑体" w:cs="Times New Roman"/>
                <w:color w:val="000000"/>
                <w:sz w:val="24"/>
                <w:szCs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vAlign w:val="center"/>
          </w:tcPr>
          <w:p>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sz w:val="24"/>
                <w:szCs w:val="24"/>
              </w:rPr>
              <w:t>1</w:t>
            </w:r>
          </w:p>
        </w:tc>
        <w:tc>
          <w:tcPr>
            <w:tcW w:w="753"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高区</w:t>
            </w:r>
          </w:p>
        </w:tc>
        <w:tc>
          <w:tcPr>
            <w:tcW w:w="4616" w:type="dxa"/>
            <w:vAlign w:val="center"/>
          </w:tcPr>
          <w:p>
            <w:pPr>
              <w:widowControl/>
              <w:spacing w:line="360" w:lineRule="auto"/>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威海职业学院</w:t>
            </w:r>
          </w:p>
        </w:tc>
        <w:tc>
          <w:tcPr>
            <w:tcW w:w="1036"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hint="eastAsia" w:ascii="Times New Roman" w:hAnsi="Times New Roman" w:eastAsia="仿宋_GB2312" w:cs="Times New Roman"/>
                <w:color w:val="000000"/>
                <w:kern w:val="0"/>
                <w:sz w:val="24"/>
                <w:szCs w:val="24"/>
              </w:rPr>
              <w:t>郑  威</w:t>
            </w:r>
          </w:p>
        </w:tc>
        <w:tc>
          <w:tcPr>
            <w:tcW w:w="1730" w:type="dxa"/>
            <w:vAlign w:val="center"/>
          </w:tcPr>
          <w:p>
            <w:pPr>
              <w:widowControl/>
              <w:jc w:val="center"/>
              <w:textAlignment w:val="center"/>
              <w:rPr>
                <w:rFonts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13963118222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vAlign w:val="center"/>
          </w:tcPr>
          <w:p>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sz w:val="24"/>
                <w:szCs w:val="24"/>
              </w:rPr>
              <w:t>2</w:t>
            </w:r>
          </w:p>
        </w:tc>
        <w:tc>
          <w:tcPr>
            <w:tcW w:w="753"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环翠</w:t>
            </w:r>
          </w:p>
        </w:tc>
        <w:tc>
          <w:tcPr>
            <w:tcW w:w="4616" w:type="dxa"/>
            <w:vAlign w:val="center"/>
          </w:tcPr>
          <w:p>
            <w:pPr>
              <w:widowControl/>
              <w:spacing w:line="360" w:lineRule="auto"/>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威海建设集团股份有限公司考试点</w:t>
            </w:r>
          </w:p>
        </w:tc>
        <w:tc>
          <w:tcPr>
            <w:tcW w:w="1036"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hint="eastAsia" w:ascii="Times New Roman" w:hAnsi="Times New Roman" w:eastAsia="仿宋_GB2312" w:cs="Times New Roman"/>
                <w:color w:val="000000"/>
                <w:kern w:val="0"/>
                <w:sz w:val="24"/>
                <w:szCs w:val="24"/>
              </w:rPr>
              <w:t>李丹丹</w:t>
            </w:r>
          </w:p>
        </w:tc>
        <w:tc>
          <w:tcPr>
            <w:tcW w:w="1730" w:type="dxa"/>
            <w:vAlign w:val="center"/>
          </w:tcPr>
          <w:p>
            <w:pPr>
              <w:widowControl/>
              <w:jc w:val="center"/>
              <w:textAlignment w:val="center"/>
              <w:rPr>
                <w:rFonts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15163146102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vAlign w:val="center"/>
          </w:tcPr>
          <w:p>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sz w:val="24"/>
                <w:szCs w:val="24"/>
              </w:rPr>
              <w:t>3</w:t>
            </w:r>
          </w:p>
        </w:tc>
        <w:tc>
          <w:tcPr>
            <w:tcW w:w="753"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高区</w:t>
            </w:r>
          </w:p>
        </w:tc>
        <w:tc>
          <w:tcPr>
            <w:tcW w:w="4616" w:type="dxa"/>
            <w:vAlign w:val="center"/>
          </w:tcPr>
          <w:p>
            <w:pPr>
              <w:widowControl/>
              <w:spacing w:line="360" w:lineRule="auto"/>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威海永泰安全技术咨询有限公司考试点</w:t>
            </w:r>
          </w:p>
        </w:tc>
        <w:tc>
          <w:tcPr>
            <w:tcW w:w="1036"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hint="eastAsia" w:ascii="Times New Roman" w:hAnsi="Times New Roman" w:eastAsia="仿宋_GB2312" w:cs="Times New Roman"/>
                <w:color w:val="000000"/>
                <w:kern w:val="0"/>
                <w:sz w:val="24"/>
                <w:szCs w:val="24"/>
              </w:rPr>
              <w:t>李富杰</w:t>
            </w:r>
          </w:p>
        </w:tc>
        <w:tc>
          <w:tcPr>
            <w:tcW w:w="1730" w:type="dxa"/>
            <w:vAlign w:val="center"/>
          </w:tcPr>
          <w:p>
            <w:pPr>
              <w:widowControl/>
              <w:jc w:val="center"/>
              <w:textAlignment w:val="center"/>
              <w:rPr>
                <w:rFonts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15069417987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vAlign w:val="center"/>
          </w:tcPr>
          <w:p>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sz w:val="24"/>
                <w:szCs w:val="24"/>
              </w:rPr>
              <w:t>4</w:t>
            </w:r>
          </w:p>
        </w:tc>
        <w:tc>
          <w:tcPr>
            <w:tcW w:w="753"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经区</w:t>
            </w:r>
          </w:p>
        </w:tc>
        <w:tc>
          <w:tcPr>
            <w:tcW w:w="4616" w:type="dxa"/>
            <w:vAlign w:val="center"/>
          </w:tcPr>
          <w:p>
            <w:pPr>
              <w:widowControl/>
              <w:spacing w:line="360" w:lineRule="auto"/>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威海市职业中等专业学校考试点</w:t>
            </w:r>
          </w:p>
        </w:tc>
        <w:tc>
          <w:tcPr>
            <w:tcW w:w="1036"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hint="eastAsia" w:ascii="Times New Roman" w:hAnsi="Times New Roman" w:eastAsia="仿宋_GB2312" w:cs="Times New Roman"/>
                <w:color w:val="000000"/>
                <w:kern w:val="0"/>
                <w:sz w:val="24"/>
                <w:szCs w:val="24"/>
              </w:rPr>
              <w:t>黄福海</w:t>
            </w:r>
          </w:p>
        </w:tc>
        <w:tc>
          <w:tcPr>
            <w:tcW w:w="1730" w:type="dxa"/>
            <w:vAlign w:val="center"/>
          </w:tcPr>
          <w:p>
            <w:pPr>
              <w:widowControl/>
              <w:jc w:val="center"/>
              <w:textAlignment w:val="center"/>
              <w:rPr>
                <w:rFonts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18806310529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vAlign w:val="center"/>
          </w:tcPr>
          <w:p>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sz w:val="24"/>
                <w:szCs w:val="24"/>
              </w:rPr>
              <w:t>5</w:t>
            </w:r>
          </w:p>
        </w:tc>
        <w:tc>
          <w:tcPr>
            <w:tcW w:w="753"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经区</w:t>
            </w:r>
          </w:p>
        </w:tc>
        <w:tc>
          <w:tcPr>
            <w:tcW w:w="4616" w:type="dxa"/>
            <w:vAlign w:val="center"/>
          </w:tcPr>
          <w:p>
            <w:pPr>
              <w:widowControl/>
              <w:spacing w:line="360" w:lineRule="auto"/>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威海经济技术开发区志安安全技术有限公司考试点</w:t>
            </w:r>
          </w:p>
        </w:tc>
        <w:tc>
          <w:tcPr>
            <w:tcW w:w="1036"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hint="eastAsia" w:ascii="Times New Roman" w:hAnsi="Times New Roman" w:eastAsia="仿宋_GB2312" w:cs="Times New Roman"/>
                <w:color w:val="000000"/>
                <w:kern w:val="0"/>
                <w:sz w:val="24"/>
                <w:szCs w:val="24"/>
              </w:rPr>
              <w:t>王瑶瑶</w:t>
            </w:r>
          </w:p>
        </w:tc>
        <w:tc>
          <w:tcPr>
            <w:tcW w:w="1730" w:type="dxa"/>
            <w:vAlign w:val="center"/>
          </w:tcPr>
          <w:p>
            <w:pPr>
              <w:widowControl/>
              <w:jc w:val="center"/>
              <w:textAlignment w:val="center"/>
              <w:rPr>
                <w:rFonts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13255652183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vAlign w:val="center"/>
          </w:tcPr>
          <w:p>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sz w:val="24"/>
                <w:szCs w:val="24"/>
              </w:rPr>
              <w:t>6</w:t>
            </w:r>
          </w:p>
        </w:tc>
        <w:tc>
          <w:tcPr>
            <w:tcW w:w="753"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文登</w:t>
            </w:r>
          </w:p>
        </w:tc>
        <w:tc>
          <w:tcPr>
            <w:tcW w:w="4616" w:type="dxa"/>
            <w:vAlign w:val="center"/>
          </w:tcPr>
          <w:p>
            <w:pPr>
              <w:widowControl/>
              <w:spacing w:line="360" w:lineRule="auto"/>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威海市文登区恒源职业培训学校考试点</w:t>
            </w:r>
          </w:p>
        </w:tc>
        <w:tc>
          <w:tcPr>
            <w:tcW w:w="1036"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hint="eastAsia" w:ascii="Times New Roman" w:hAnsi="Times New Roman" w:eastAsia="仿宋_GB2312" w:cs="Times New Roman"/>
                <w:color w:val="000000"/>
                <w:kern w:val="0"/>
                <w:sz w:val="24"/>
                <w:szCs w:val="24"/>
              </w:rPr>
              <w:t>丁培建</w:t>
            </w:r>
          </w:p>
        </w:tc>
        <w:tc>
          <w:tcPr>
            <w:tcW w:w="1730" w:type="dxa"/>
            <w:vAlign w:val="center"/>
          </w:tcPr>
          <w:p>
            <w:pPr>
              <w:widowControl/>
              <w:jc w:val="center"/>
              <w:textAlignment w:val="center"/>
              <w:rPr>
                <w:rFonts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13706490158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vAlign w:val="center"/>
          </w:tcPr>
          <w:p>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sz w:val="24"/>
                <w:szCs w:val="24"/>
              </w:rPr>
              <w:t>7</w:t>
            </w:r>
          </w:p>
        </w:tc>
        <w:tc>
          <w:tcPr>
            <w:tcW w:w="753"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荣成</w:t>
            </w:r>
          </w:p>
        </w:tc>
        <w:tc>
          <w:tcPr>
            <w:tcW w:w="4616" w:type="dxa"/>
            <w:vAlign w:val="center"/>
          </w:tcPr>
          <w:p>
            <w:pPr>
              <w:widowControl/>
              <w:spacing w:line="360" w:lineRule="auto"/>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荣成市通泰职业培训学校考试点</w:t>
            </w:r>
          </w:p>
        </w:tc>
        <w:tc>
          <w:tcPr>
            <w:tcW w:w="1036"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hint="eastAsia" w:ascii="Times New Roman" w:hAnsi="Times New Roman" w:eastAsia="仿宋_GB2312" w:cs="Times New Roman"/>
                <w:color w:val="000000"/>
                <w:kern w:val="0"/>
                <w:sz w:val="24"/>
                <w:szCs w:val="24"/>
              </w:rPr>
              <w:t>王军庆</w:t>
            </w:r>
          </w:p>
        </w:tc>
        <w:tc>
          <w:tcPr>
            <w:tcW w:w="1730" w:type="dxa"/>
            <w:vAlign w:val="center"/>
          </w:tcPr>
          <w:p>
            <w:pPr>
              <w:widowControl/>
              <w:jc w:val="center"/>
              <w:textAlignment w:val="center"/>
              <w:rPr>
                <w:rFonts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15562169338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vAlign w:val="center"/>
          </w:tcPr>
          <w:p>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sz w:val="24"/>
                <w:szCs w:val="24"/>
              </w:rPr>
              <w:t>8</w:t>
            </w:r>
          </w:p>
        </w:tc>
        <w:tc>
          <w:tcPr>
            <w:tcW w:w="753"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乳山</w:t>
            </w:r>
          </w:p>
        </w:tc>
        <w:tc>
          <w:tcPr>
            <w:tcW w:w="4616" w:type="dxa"/>
            <w:vAlign w:val="center"/>
          </w:tcPr>
          <w:p>
            <w:pPr>
              <w:widowControl/>
              <w:spacing w:line="360" w:lineRule="auto"/>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乳山市宏图安全培训有限公司考试点</w:t>
            </w:r>
          </w:p>
        </w:tc>
        <w:tc>
          <w:tcPr>
            <w:tcW w:w="1036" w:type="dxa"/>
            <w:vAlign w:val="center"/>
          </w:tcPr>
          <w:p>
            <w:pPr>
              <w:widowControl/>
              <w:spacing w:line="360" w:lineRule="auto"/>
              <w:jc w:val="center"/>
              <w:textAlignment w:val="center"/>
              <w:rPr>
                <w:rFonts w:ascii="Times New Roman" w:hAnsi="Times New Roman" w:eastAsia="仿宋_GB2312" w:cs="Times New Roman"/>
                <w:color w:val="000000"/>
                <w:kern w:val="0"/>
                <w:sz w:val="24"/>
                <w:szCs w:val="24"/>
              </w:rPr>
            </w:pPr>
            <w:r>
              <w:rPr>
                <w:rFonts w:hint="eastAsia" w:ascii="Times New Roman" w:hAnsi="Times New Roman" w:eastAsia="仿宋_GB2312" w:cs="Times New Roman"/>
                <w:color w:val="000000"/>
                <w:kern w:val="0"/>
                <w:sz w:val="24"/>
                <w:szCs w:val="24"/>
              </w:rPr>
              <w:t>于晓杰</w:t>
            </w:r>
          </w:p>
        </w:tc>
        <w:tc>
          <w:tcPr>
            <w:tcW w:w="1730" w:type="dxa"/>
            <w:vAlign w:val="center"/>
          </w:tcPr>
          <w:p>
            <w:pPr>
              <w:widowControl/>
              <w:jc w:val="center"/>
              <w:textAlignment w:val="center"/>
              <w:rPr>
                <w:rFonts w:ascii="Times New Roman" w:hAnsi="Times New Roman" w:eastAsia="仿宋_GB2312" w:cs="Times New Roman"/>
                <w:color w:val="000000"/>
                <w:sz w:val="24"/>
                <w:szCs w:val="24"/>
              </w:rPr>
            </w:pPr>
            <w:r>
              <w:rPr>
                <w:rFonts w:hint="eastAsia" w:ascii="Times New Roman" w:hAnsi="Times New Roman" w:eastAsia="仿宋_GB2312" w:cs="Times New Roman"/>
                <w:color w:val="000000"/>
                <w:sz w:val="24"/>
                <w:szCs w:val="24"/>
              </w:rPr>
              <w:t>15163189996</w:t>
            </w:r>
          </w:p>
        </w:tc>
      </w:tr>
    </w:tbl>
    <w:p>
      <w:pPr>
        <w:pStyle w:val="14"/>
        <w:rPr>
          <w:rFonts w:hint="default" w:ascii="Times New Roman" w:hAnsi="Times New Roman" w:eastAsia="仿宋_GB2312"/>
          <w:sz w:val="32"/>
        </w:rPr>
      </w:pPr>
    </w:p>
    <w:p>
      <w:pPr>
        <w:pStyle w:val="14"/>
        <w:rPr>
          <w:rFonts w:hint="default" w:ascii="Times New Roman" w:hAnsi="Times New Roman" w:eastAsia="仿宋_GB2312"/>
          <w:sz w:val="32"/>
        </w:rPr>
      </w:pPr>
    </w:p>
    <w:p>
      <w:pPr>
        <w:pStyle w:val="14"/>
        <w:rPr>
          <w:rFonts w:hint="default" w:ascii="Times New Roman" w:hAnsi="Times New Roman" w:eastAsia="仿宋_GB2312"/>
          <w:sz w:val="32"/>
        </w:rPr>
      </w:pPr>
    </w:p>
    <w:p>
      <w:pPr>
        <w:pStyle w:val="14"/>
        <w:rPr>
          <w:rFonts w:hint="default" w:ascii="Times New Roman" w:hAnsi="Times New Roman" w:eastAsia="仿宋_GB2312"/>
          <w:sz w:val="32"/>
        </w:rPr>
      </w:pPr>
    </w:p>
    <w:p>
      <w:pPr>
        <w:pStyle w:val="14"/>
        <w:rPr>
          <w:rFonts w:hint="default" w:ascii="Times New Roman" w:hAnsi="Times New Roman" w:eastAsia="仿宋_GB2312"/>
          <w:sz w:val="32"/>
        </w:rPr>
      </w:pPr>
    </w:p>
    <w:p>
      <w:pPr>
        <w:pStyle w:val="14"/>
        <w:rPr>
          <w:rFonts w:hint="default" w:ascii="Times New Roman" w:hAnsi="Times New Roman" w:eastAsia="仿宋_GB2312"/>
          <w:sz w:val="32"/>
        </w:rPr>
      </w:pPr>
    </w:p>
    <w:p>
      <w:pPr>
        <w:pStyle w:val="14"/>
        <w:rPr>
          <w:rFonts w:hint="default" w:ascii="Times New Roman" w:hAnsi="Times New Roman" w:eastAsia="仿宋_GB2312"/>
          <w:sz w:val="32"/>
        </w:rPr>
      </w:pPr>
    </w:p>
    <w:p>
      <w:pPr>
        <w:pStyle w:val="14"/>
        <w:rPr>
          <w:rFonts w:hint="default" w:ascii="Times New Roman" w:hAnsi="Times New Roman" w:eastAsia="仿宋_GB2312"/>
          <w:sz w:val="32"/>
        </w:rPr>
      </w:pPr>
    </w:p>
    <w:p>
      <w:pPr>
        <w:pStyle w:val="14"/>
        <w:rPr>
          <w:rFonts w:hint="default" w:ascii="Times New Roman" w:hAnsi="Times New Roman" w:eastAsia="仿宋_GB2312"/>
          <w:sz w:val="32"/>
        </w:rPr>
      </w:pPr>
    </w:p>
    <w:p>
      <w:pPr>
        <w:keepNext w:val="0"/>
        <w:keepLines w:val="0"/>
        <w:pageBreakBefore w:val="0"/>
        <w:widowControl w:val="0"/>
        <w:kinsoku/>
        <w:wordWrap/>
        <w:overflowPunct/>
        <w:topLinePunct w:val="0"/>
        <w:autoSpaceDE/>
        <w:autoSpaceDN/>
        <w:bidi w:val="0"/>
        <w:adjustRightInd/>
        <w:snapToGrid/>
        <w:spacing w:line="572" w:lineRule="exact"/>
        <w:jc w:val="both"/>
        <w:textAlignment w:val="auto"/>
        <w:rPr>
          <w:rFonts w:hint="default" w:ascii="Times New Roman" w:hAnsi="Times New Roman" w:eastAsia="方正小标宋简体" w:cs="Times New Roman"/>
          <w:sz w:val="44"/>
          <w:szCs w:val="44"/>
        </w:rPr>
      </w:pPr>
    </w:p>
    <w:p>
      <w:pPr>
        <w:pStyle w:val="14"/>
        <w:rPr>
          <w:rFonts w:hint="eastAsia" w:ascii="Times New Roman" w:hAnsi="Times New Roman" w:eastAsia="仿宋_GB2312"/>
          <w:sz w:val="32"/>
          <w:lang w:val="en-US" w:eastAsia="zh-CN"/>
        </w:rPr>
      </w:pPr>
      <w:r>
        <w:rPr>
          <w:rFonts w:ascii="Times New Roman" w:hAnsi="Times New Roman" w:eastAsia="仿宋_GB2312"/>
          <w:sz w:val="32"/>
        </w:rPr>
        <w:t>附件</w:t>
      </w:r>
      <w:r>
        <w:rPr>
          <w:rFonts w:hint="eastAsia" w:ascii="Times New Roman" w:hAnsi="Times New Roman" w:eastAsia="仿宋_GB2312"/>
          <w:sz w:val="32"/>
          <w:lang w:val="en-US" w:eastAsia="zh-CN"/>
        </w:rPr>
        <w:t>3</w:t>
      </w:r>
    </w:p>
    <w:p>
      <w:pPr>
        <w:spacing w:line="572" w:lineRule="exact"/>
        <w:jc w:val="center"/>
        <w:textAlignment w:val="baseline"/>
        <w:rPr>
          <w:rFonts w:ascii="Times New Roman" w:hAnsi="Times New Roman" w:eastAsia="方正小标宋简体" w:cs="Times New Roman"/>
          <w:sz w:val="44"/>
          <w:szCs w:val="44"/>
        </w:rPr>
      </w:pPr>
      <w:r>
        <w:rPr>
          <w:rFonts w:hint="eastAsia" w:ascii="Times New Roman" w:hAnsi="Times New Roman" w:eastAsia="方正小标宋简体" w:cs="Times New Roman"/>
          <w:sz w:val="44"/>
          <w:szCs w:val="44"/>
        </w:rPr>
        <w:t>省安全生产创新举措学习贯彻抽考情况统计表</w:t>
      </w:r>
    </w:p>
    <w:p>
      <w:pPr>
        <w:pStyle w:val="14"/>
        <w:rPr>
          <w:rFonts w:hint="default"/>
        </w:rPr>
      </w:pPr>
    </w:p>
    <w:p>
      <w:pPr>
        <w:pStyle w:val="14"/>
        <w:rPr>
          <w:rFonts w:hint="default"/>
        </w:rPr>
      </w:pPr>
      <w:r>
        <w:t>填报区市（部门）：                       填表时间：</w:t>
      </w:r>
    </w:p>
    <w:p>
      <w:pPr>
        <w:pStyle w:val="14"/>
        <w:rPr>
          <w:rFonts w:hint="default"/>
        </w:rPr>
      </w:pPr>
      <w:r>
        <w:t xml:space="preserve">填表人：                                 联系方式：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1186"/>
        <w:gridCol w:w="3791"/>
        <w:gridCol w:w="1241"/>
        <w:gridCol w:w="1173"/>
        <w:gridCol w:w="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840" w:type="dxa"/>
            <w:vAlign w:val="center"/>
          </w:tcPr>
          <w:p>
            <w:pPr>
              <w:pStyle w:val="14"/>
              <w:spacing w:line="320" w:lineRule="exact"/>
              <w:jc w:val="center"/>
              <w:rPr>
                <w:rFonts w:hint="default" w:ascii="Times New Roman" w:hAnsi="Times New Roman" w:eastAsia="仿宋_GB2312"/>
                <w:sz w:val="28"/>
                <w:szCs w:val="21"/>
              </w:rPr>
            </w:pPr>
            <w:r>
              <w:rPr>
                <w:rFonts w:ascii="Times New Roman" w:hAnsi="Times New Roman" w:eastAsia="仿宋_GB2312"/>
                <w:sz w:val="28"/>
                <w:szCs w:val="21"/>
              </w:rPr>
              <w:t>序号</w:t>
            </w:r>
          </w:p>
        </w:tc>
        <w:tc>
          <w:tcPr>
            <w:tcW w:w="1186" w:type="dxa"/>
            <w:vAlign w:val="center"/>
          </w:tcPr>
          <w:p>
            <w:pPr>
              <w:pStyle w:val="14"/>
              <w:spacing w:line="320" w:lineRule="exact"/>
              <w:jc w:val="center"/>
              <w:rPr>
                <w:rFonts w:hint="default"/>
              </w:rPr>
            </w:pPr>
            <w:r>
              <w:t>区市</w:t>
            </w:r>
          </w:p>
          <w:p>
            <w:pPr>
              <w:pStyle w:val="14"/>
              <w:spacing w:line="320" w:lineRule="exact"/>
              <w:jc w:val="center"/>
              <w:rPr>
                <w:rFonts w:hint="default" w:ascii="Times New Roman" w:hAnsi="Times New Roman" w:eastAsia="仿宋_GB2312"/>
                <w:sz w:val="28"/>
                <w:szCs w:val="21"/>
              </w:rPr>
            </w:pPr>
            <w:r>
              <w:t>（部门）</w:t>
            </w:r>
          </w:p>
        </w:tc>
        <w:tc>
          <w:tcPr>
            <w:tcW w:w="3791" w:type="dxa"/>
            <w:vAlign w:val="center"/>
          </w:tcPr>
          <w:p>
            <w:pPr>
              <w:pStyle w:val="14"/>
              <w:spacing w:line="320" w:lineRule="exact"/>
              <w:jc w:val="center"/>
              <w:rPr>
                <w:rFonts w:hint="default" w:ascii="Times New Roman" w:hAnsi="Times New Roman" w:eastAsia="仿宋_GB2312"/>
                <w:sz w:val="28"/>
                <w:szCs w:val="21"/>
              </w:rPr>
            </w:pPr>
            <w:r>
              <w:rPr>
                <w:rFonts w:ascii="Times New Roman" w:hAnsi="Times New Roman" w:eastAsia="仿宋_GB2312"/>
                <w:sz w:val="28"/>
                <w:szCs w:val="21"/>
              </w:rPr>
              <w:t>企业名称</w:t>
            </w:r>
          </w:p>
        </w:tc>
        <w:tc>
          <w:tcPr>
            <w:tcW w:w="1241" w:type="dxa"/>
            <w:vAlign w:val="center"/>
          </w:tcPr>
          <w:p>
            <w:pPr>
              <w:pStyle w:val="14"/>
              <w:spacing w:line="320" w:lineRule="exact"/>
              <w:jc w:val="center"/>
              <w:rPr>
                <w:rFonts w:hint="default" w:ascii="Times New Roman" w:hAnsi="Times New Roman" w:eastAsia="仿宋_GB2312"/>
                <w:sz w:val="28"/>
                <w:szCs w:val="21"/>
              </w:rPr>
            </w:pPr>
            <w:r>
              <w:rPr>
                <w:rFonts w:ascii="Times New Roman" w:hAnsi="Times New Roman" w:eastAsia="仿宋_GB2312"/>
                <w:sz w:val="28"/>
                <w:szCs w:val="21"/>
              </w:rPr>
              <w:t>姓名</w:t>
            </w:r>
          </w:p>
        </w:tc>
        <w:tc>
          <w:tcPr>
            <w:tcW w:w="1173" w:type="dxa"/>
            <w:vAlign w:val="center"/>
          </w:tcPr>
          <w:p>
            <w:pPr>
              <w:pStyle w:val="14"/>
              <w:spacing w:line="320" w:lineRule="exact"/>
              <w:jc w:val="center"/>
              <w:rPr>
                <w:rFonts w:hint="default" w:ascii="Times New Roman" w:hAnsi="Times New Roman" w:eastAsia="仿宋_GB2312"/>
                <w:sz w:val="28"/>
                <w:szCs w:val="21"/>
              </w:rPr>
            </w:pPr>
            <w:r>
              <w:rPr>
                <w:rFonts w:ascii="Times New Roman" w:hAnsi="Times New Roman" w:eastAsia="仿宋_GB2312"/>
                <w:sz w:val="28"/>
                <w:szCs w:val="21"/>
              </w:rPr>
              <w:t>职务</w:t>
            </w:r>
          </w:p>
        </w:tc>
        <w:tc>
          <w:tcPr>
            <w:tcW w:w="827" w:type="dxa"/>
            <w:vAlign w:val="center"/>
          </w:tcPr>
          <w:p>
            <w:pPr>
              <w:pStyle w:val="14"/>
              <w:spacing w:line="320" w:lineRule="exact"/>
              <w:jc w:val="center"/>
              <w:rPr>
                <w:rFonts w:hint="default" w:ascii="Times New Roman" w:hAnsi="Times New Roman" w:eastAsia="仿宋_GB2312"/>
                <w:sz w:val="28"/>
                <w:szCs w:val="21"/>
              </w:rPr>
            </w:pPr>
            <w:r>
              <w:rPr>
                <w:rFonts w:ascii="Times New Roman" w:hAnsi="Times New Roman" w:eastAsia="仿宋_GB2312"/>
                <w:sz w:val="28"/>
                <w:szCs w:val="21"/>
              </w:rPr>
              <w:t>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pStyle w:val="14"/>
              <w:jc w:val="both"/>
              <w:rPr>
                <w:rFonts w:hint="default" w:ascii="Times New Roman" w:hAnsi="Times New Roman" w:eastAsia="仿宋_GB2312"/>
                <w:sz w:val="32"/>
              </w:rPr>
            </w:pPr>
          </w:p>
        </w:tc>
        <w:tc>
          <w:tcPr>
            <w:tcW w:w="1186" w:type="dxa"/>
          </w:tcPr>
          <w:p>
            <w:pPr>
              <w:pStyle w:val="14"/>
              <w:jc w:val="both"/>
              <w:rPr>
                <w:rFonts w:hint="default" w:ascii="Times New Roman" w:hAnsi="Times New Roman" w:eastAsia="仿宋_GB2312"/>
                <w:sz w:val="32"/>
              </w:rPr>
            </w:pPr>
          </w:p>
        </w:tc>
        <w:tc>
          <w:tcPr>
            <w:tcW w:w="3791" w:type="dxa"/>
          </w:tcPr>
          <w:p>
            <w:pPr>
              <w:pStyle w:val="14"/>
              <w:jc w:val="both"/>
              <w:rPr>
                <w:rFonts w:hint="default" w:ascii="Times New Roman" w:hAnsi="Times New Roman" w:eastAsia="仿宋_GB2312"/>
                <w:sz w:val="32"/>
              </w:rPr>
            </w:pPr>
          </w:p>
        </w:tc>
        <w:tc>
          <w:tcPr>
            <w:tcW w:w="1241" w:type="dxa"/>
          </w:tcPr>
          <w:p>
            <w:pPr>
              <w:pStyle w:val="14"/>
              <w:jc w:val="both"/>
              <w:rPr>
                <w:rFonts w:hint="default" w:ascii="Times New Roman" w:hAnsi="Times New Roman" w:eastAsia="仿宋_GB2312"/>
                <w:sz w:val="32"/>
              </w:rPr>
            </w:pPr>
          </w:p>
        </w:tc>
        <w:tc>
          <w:tcPr>
            <w:tcW w:w="1173" w:type="dxa"/>
          </w:tcPr>
          <w:p>
            <w:pPr>
              <w:pStyle w:val="14"/>
              <w:jc w:val="both"/>
              <w:rPr>
                <w:rFonts w:hint="default" w:ascii="Times New Roman" w:hAnsi="Times New Roman" w:eastAsia="仿宋_GB2312"/>
                <w:sz w:val="32"/>
              </w:rPr>
            </w:pPr>
          </w:p>
        </w:tc>
        <w:tc>
          <w:tcPr>
            <w:tcW w:w="827" w:type="dxa"/>
          </w:tcPr>
          <w:p>
            <w:pPr>
              <w:pStyle w:val="14"/>
              <w:jc w:val="both"/>
              <w:rPr>
                <w:rFonts w:hint="default" w:ascii="Times New Roman" w:hAnsi="Times New Roman" w:eastAsia="仿宋_GB2312"/>
                <w:sz w:val="32"/>
              </w:rPr>
            </w:pPr>
          </w:p>
        </w:tc>
      </w:tr>
    </w:tbl>
    <w:p>
      <w:pPr>
        <w:pStyle w:val="14"/>
        <w:rPr>
          <w:rFonts w:hint="default" w:ascii="Times New Roman" w:hAnsi="Times New Roman" w:eastAsia="仿宋_GB2312"/>
          <w:sz w:val="32"/>
        </w:rPr>
      </w:pPr>
    </w:p>
    <w:sectPr>
      <w:footerReference r:id="rId8" w:type="first"/>
      <w:footerReference r:id="rId7" w:type="default"/>
      <w:pgSz w:w="11906" w:h="16838"/>
      <w:pgMar w:top="2098" w:right="1474" w:bottom="1984" w:left="1587"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imsun (Founder Extended)">
    <w:altName w:val="宋体"/>
    <w:panose1 w:val="00000000000000000000"/>
    <w:charset w:val="86"/>
    <w:family w:val="script"/>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w:pict>
        <v:shape id="_x0000_s1031" o:spid="_x0000_s1031" o:spt="202" type="#_x0000_t202" style="position:absolute;left:0pt;margin-top:0pt;height:144pt;width:144pt;mso-position-horizontal:outside;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6"/>
                  <w:rPr>
                    <w:sz w:val="30"/>
                    <w:szCs w:val="30"/>
                  </w:rPr>
                </w:pPr>
                <w:r>
                  <w:rPr>
                    <w:rFonts w:hint="eastAsia" w:ascii="仿宋_GB2312" w:hAnsi="仿宋_GB2312" w:eastAsia="仿宋_GB2312" w:cs="仿宋_GB2312"/>
                    <w:sz w:val="30"/>
                    <w:szCs w:val="30"/>
                  </w:rPr>
                  <w:t xml:space="preserve">— </w:t>
                </w: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1</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rPr>
                  <w:t xml:space="preserve">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w:pict>
        <v:shape id="_x0000_s1032" o:spid="_x0000_s1032" o:spt="202" type="#_x0000_t202" style="position:absolute;left:0pt;margin-top:0pt;height:144pt;width:144pt;mso-position-horizontal:outside;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6"/>
                </w:pPr>
                <w:r>
                  <w:t xml:space="preserve">— </w:t>
                </w:r>
                <w:r>
                  <w:fldChar w:fldCharType="begin"/>
                </w:r>
                <w:r>
                  <w:instrText xml:space="preserve"> PAGE  \* MERGEFORMAT </w:instrText>
                </w:r>
                <w:r>
                  <w:fldChar w:fldCharType="separate"/>
                </w:r>
                <w:r>
                  <w:t>8</w:t>
                </w:r>
                <w:r>
                  <w:fldChar w:fldCharType="end"/>
                </w:r>
                <w:r>
                  <w:t xml:space="preserve"> —</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w:pict>
        <v:shape id="_x0000_s1033" o:spid="_x0000_s1033" o:spt="202" type="#_x0000_t202" style="position:absolute;left:0pt;margin-top:0pt;height:144pt;width:144pt;mso-position-horizontal:outside;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pPr>
                  <w:pStyle w:val="6"/>
                </w:pPr>
                <w:r>
                  <w:t xml:space="preserve">— </w:t>
                </w:r>
                <w:r>
                  <w:fldChar w:fldCharType="begin"/>
                </w:r>
                <w:r>
                  <w:instrText xml:space="preserve"> PAGE  \* MERGEFORMAT </w:instrText>
                </w:r>
                <w:r>
                  <w:fldChar w:fldCharType="separate"/>
                </w:r>
                <w:r>
                  <w:t>7</w:t>
                </w:r>
                <w:r>
                  <w:fldChar w:fldCharType="end"/>
                </w:r>
                <w:r>
                  <w:t xml:space="preserve"> —</w:t>
                </w:r>
              </w:p>
            </w:txbxContent>
          </v:textbox>
        </v:shape>
      </w:pict>
    </w:r>
    <w:r>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path/>
          <v:fill on="f" focussize="0,0"/>
          <v:stroke on="f" weight="0.5pt" joinstyle="miter"/>
          <v:imagedata o:title=""/>
          <o:lock v:ext="edit"/>
          <v:textbox inset="0mm,0mm,0mm,0mm" style="mso-fit-shape-to-text:t;">
            <w:txbxContent>
              <w:p>
                <w:pPr>
                  <w:pStyle w:val="6"/>
                </w:pP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DYxNzI5NjIzNTM5ZDhlYzBmNWNhNTU3MmY4YjBkZTYifQ=="/>
  </w:docVars>
  <w:rsids>
    <w:rsidRoot w:val="00F55121"/>
    <w:rsid w:val="000A4EA7"/>
    <w:rsid w:val="00283B4D"/>
    <w:rsid w:val="002A0258"/>
    <w:rsid w:val="002C6463"/>
    <w:rsid w:val="004558D2"/>
    <w:rsid w:val="0085648A"/>
    <w:rsid w:val="009146E4"/>
    <w:rsid w:val="009260CD"/>
    <w:rsid w:val="00A0357C"/>
    <w:rsid w:val="00C14586"/>
    <w:rsid w:val="00C92969"/>
    <w:rsid w:val="00DB4470"/>
    <w:rsid w:val="00DE69B8"/>
    <w:rsid w:val="00F55121"/>
    <w:rsid w:val="026F0ACD"/>
    <w:rsid w:val="04D3191B"/>
    <w:rsid w:val="0BFD74EA"/>
    <w:rsid w:val="0CB52829"/>
    <w:rsid w:val="10572D58"/>
    <w:rsid w:val="136B2BD6"/>
    <w:rsid w:val="174B17DD"/>
    <w:rsid w:val="1A5E6F67"/>
    <w:rsid w:val="1C786BF1"/>
    <w:rsid w:val="27683A2B"/>
    <w:rsid w:val="292E42E0"/>
    <w:rsid w:val="2FDF12C3"/>
    <w:rsid w:val="3F3C56C9"/>
    <w:rsid w:val="3F9B86E4"/>
    <w:rsid w:val="3FFB27A2"/>
    <w:rsid w:val="40725DB0"/>
    <w:rsid w:val="457E5382"/>
    <w:rsid w:val="4A68578C"/>
    <w:rsid w:val="4A9638F4"/>
    <w:rsid w:val="4C6F1DBE"/>
    <w:rsid w:val="50EB6FA0"/>
    <w:rsid w:val="5383483A"/>
    <w:rsid w:val="54CB7EFB"/>
    <w:rsid w:val="55560DB3"/>
    <w:rsid w:val="5A9D28FB"/>
    <w:rsid w:val="5C8E5C48"/>
    <w:rsid w:val="5CA934E8"/>
    <w:rsid w:val="5DAF0A7B"/>
    <w:rsid w:val="618F0FC2"/>
    <w:rsid w:val="642E704C"/>
    <w:rsid w:val="67EE45B1"/>
    <w:rsid w:val="69142C9F"/>
    <w:rsid w:val="69F94F7F"/>
    <w:rsid w:val="6AF3780F"/>
    <w:rsid w:val="6FEF46A5"/>
    <w:rsid w:val="72ED5DE8"/>
    <w:rsid w:val="77446C2D"/>
    <w:rsid w:val="7B6AB58E"/>
    <w:rsid w:val="7FBEACA0"/>
    <w:rsid w:val="A152CDEB"/>
    <w:rsid w:val="EBF90799"/>
    <w:rsid w:val="FEDD4047"/>
    <w:rsid w:val="FEFF5C4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rPr>
      <w:rFonts w:eastAsia="仿宋_GB2312"/>
      <w:sz w:val="32"/>
    </w:rPr>
  </w:style>
  <w:style w:type="paragraph" w:styleId="3">
    <w:name w:val="Body Text Indent"/>
    <w:basedOn w:val="1"/>
    <w:next w:val="4"/>
    <w:unhideWhenUsed/>
    <w:qFormat/>
    <w:uiPriority w:val="99"/>
    <w:pPr>
      <w:spacing w:after="120"/>
      <w:ind w:left="420" w:leftChars="200"/>
    </w:pPr>
  </w:style>
  <w:style w:type="paragraph" w:styleId="4">
    <w:name w:val="Normal Indent"/>
    <w:basedOn w:val="1"/>
    <w:qFormat/>
    <w:uiPriority w:val="0"/>
    <w:pPr>
      <w:ind w:firstLine="420" w:firstLineChars="200"/>
    </w:pPr>
    <w:rPr>
      <w:rFonts w:ascii="Times New Roman" w:hAnsi="Times New Roman" w:eastAsia="仿宋" w:cs="Times New Roman"/>
      <w:sz w:val="32"/>
    </w:rPr>
  </w:style>
  <w:style w:type="paragraph" w:styleId="5">
    <w:name w:val="Balloon Text"/>
    <w:basedOn w:val="1"/>
    <w:link w:val="17"/>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page number"/>
    <w:basedOn w:val="10"/>
    <w:qFormat/>
    <w:uiPriority w:val="0"/>
  </w:style>
  <w:style w:type="character" w:styleId="12">
    <w:name w:val="Emphasis"/>
    <w:basedOn w:val="10"/>
    <w:qFormat/>
    <w:uiPriority w:val="0"/>
    <w:rPr>
      <w:i/>
    </w:rPr>
  </w:style>
  <w:style w:type="paragraph" w:customStyle="1" w:styleId="13">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14">
    <w:name w:val="Default"/>
    <w:unhideWhenUsed/>
    <w:qFormat/>
    <w:uiPriority w:val="99"/>
    <w:pPr>
      <w:widowControl w:val="0"/>
      <w:autoSpaceDE w:val="0"/>
      <w:autoSpaceDN w:val="0"/>
      <w:adjustRightInd w:val="0"/>
    </w:pPr>
    <w:rPr>
      <w:rFonts w:hint="eastAsia" w:ascii="Simsun (Founder Extended)" w:hAnsi="Simsun (Founder Extended)" w:eastAsia="Simsun (Founder Extended)" w:cs="Times New Roman"/>
      <w:color w:val="000000"/>
      <w:sz w:val="24"/>
      <w:szCs w:val="22"/>
      <w:lang w:val="en-US" w:eastAsia="zh-CN" w:bidi="ar-SA"/>
    </w:rPr>
  </w:style>
  <w:style w:type="paragraph" w:customStyle="1" w:styleId="15">
    <w:name w:val="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styleId="16">
    <w:name w:val="List Paragraph"/>
    <w:basedOn w:val="1"/>
    <w:unhideWhenUsed/>
    <w:qFormat/>
    <w:uiPriority w:val="99"/>
    <w:pPr>
      <w:ind w:firstLine="420" w:firstLineChars="200"/>
    </w:pPr>
  </w:style>
  <w:style w:type="character" w:customStyle="1" w:styleId="17">
    <w:name w:val="批注框文本 Char"/>
    <w:basedOn w:val="10"/>
    <w:link w:val="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1" textRotate="1"/>
    <customShpInfo spid="_x0000_s1032" textRotate="1"/>
    <customShpInfo spid="_x0000_s1033" textRotate="1"/>
    <customShpInfo spid="_x0000_s1026"/>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52</Pages>
  <Words>22595</Words>
  <Characters>24217</Characters>
  <Lines>15</Lines>
  <Paragraphs>4</Paragraphs>
  <TotalTime>2</TotalTime>
  <ScaleCrop>false</ScaleCrop>
  <LinksUpToDate>false</LinksUpToDate>
  <CharactersWithSpaces>25905</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2022-05-05T12:05:00Z</dcterms:created>
  <dc:creator>Administrator</dc:creator>
  <cp:lastModifiedBy>Administrator</cp:lastModifiedBy>
  <cp:lastPrinted>2022-05-06T02:57:00Z</cp:lastPrinted>
  <dcterms:modified xsi:type="dcterms:W3CDTF">2022-05-06T09:42:35Z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6C166C7D22454209BE1AFE466484DF15</vt:lpwstr>
  </property>
</Properties>
</file>